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94C57">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方正小标宋简体" w:eastAsia="方正小标宋简体"/>
          <w:color w:val="FF0000"/>
          <w:w w:val="60"/>
          <w:sz w:val="104"/>
          <w:szCs w:val="104"/>
        </w:rPr>
      </w:pPr>
      <w:r>
        <w:rPr>
          <w:rFonts w:ascii="Times New Roman" w:hAnsi="Times New Roman" w:eastAsia="楷体" w:cs="Times New Roman"/>
          <w:sz w:val="32"/>
          <w:szCs w:val="32"/>
        </w:rPr>
        <w:t>注：</w:t>
      </w:r>
      <w:r>
        <w:rPr>
          <w:rFonts w:hint="eastAsia" w:eastAsia="楷体" w:cs="Times New Roman"/>
          <w:sz w:val="32"/>
          <w:szCs w:val="32"/>
          <w:lang w:eastAsia="zh-CN"/>
        </w:rPr>
        <w:t>黄</w:t>
      </w:r>
      <w:r>
        <w:rPr>
          <w:rFonts w:ascii="Times New Roman" w:hAnsi="Times New Roman" w:eastAsia="楷体" w:cs="Times New Roman"/>
          <w:sz w:val="32"/>
          <w:szCs w:val="32"/>
        </w:rPr>
        <w:t>体字表示拟增加内容</w:t>
      </w:r>
      <w:r>
        <w:rPr>
          <w:rFonts w:hint="eastAsia" w:eastAsia="楷体" w:cs="Times New Roman"/>
          <w:sz w:val="32"/>
          <w:szCs w:val="32"/>
          <w:lang w:eastAsia="zh-CN"/>
        </w:rPr>
        <w:t>，</w:t>
      </w:r>
      <w:r>
        <w:rPr>
          <w:rFonts w:ascii="Times New Roman" w:hAnsi="Times New Roman" w:eastAsia="楷体" w:cs="Times New Roman"/>
          <w:sz w:val="32"/>
          <w:szCs w:val="32"/>
        </w:rPr>
        <w:t>【</w:t>
      </w:r>
      <w:r>
        <w:rPr>
          <w:rFonts w:hint="eastAsia" w:eastAsia="楷体" w:cs="Times New Roman"/>
          <w:sz w:val="32"/>
          <w:szCs w:val="32"/>
          <w:highlight w:val="lightGray"/>
          <w:lang w:val="en-US" w:eastAsia="zh-CN"/>
        </w:rPr>
        <w:t xml:space="preserve">   </w:t>
      </w:r>
      <w:r>
        <w:rPr>
          <w:rFonts w:ascii="Times New Roman" w:hAnsi="Times New Roman" w:eastAsia="楷体" w:cs="Times New Roman"/>
          <w:sz w:val="32"/>
          <w:szCs w:val="32"/>
        </w:rPr>
        <w:t>】表示拟删除的内容</w:t>
      </w:r>
    </w:p>
    <w:p w14:paraId="1FC4D1F1">
      <w:pPr>
        <w:pStyle w:val="2"/>
        <w:keepNext w:val="0"/>
        <w:keepLines w:val="0"/>
        <w:pageBreakBefore w:val="0"/>
        <w:widowControl w:val="0"/>
        <w:kinsoku/>
        <w:overflowPunct w:val="0"/>
        <w:topLinePunct w:val="0"/>
        <w:autoSpaceDE w:val="0"/>
        <w:autoSpaceDN w:val="0"/>
        <w:bidi w:val="0"/>
        <w:adjustRightInd w:val="0"/>
        <w:snapToGrid/>
        <w:spacing w:beforeAutospacing="0" w:after="0" w:afterAutospacing="0"/>
        <w:ind w:left="0" w:firstLine="0"/>
        <w:rPr>
          <w:rFonts w:ascii="仿宋_GB2312" w:hAnsi="Times New Roman" w:eastAsia="仿宋_GB2312" w:cs="宋体"/>
          <w:color w:val="auto"/>
          <w:kern w:val="2"/>
          <w:sz w:val="32"/>
          <w:szCs w:val="32"/>
          <w:u w:val="none"/>
          <w:lang w:val="en-US" w:eastAsia="zh-CN" w:bidi="ar-SA"/>
        </w:rPr>
      </w:pPr>
      <w:r>
        <w:rPr>
          <w:rFonts w:hint="eastAsia" w:ascii="仿宋_GB2312" w:hAnsi="Times New Roman" w:eastAsia="仿宋_GB2312" w:cs="宋体"/>
          <w:color w:val="auto"/>
          <w:kern w:val="2"/>
          <w:sz w:val="32"/>
          <w:szCs w:val="32"/>
          <w:u w:val="none"/>
          <w:lang w:val="en-US" w:eastAsia="zh-CN" w:bidi="ar-SA"/>
        </w:rPr>
        <w:t>附件</w:t>
      </w:r>
      <w:r>
        <w:rPr>
          <w:rFonts w:hint="eastAsia" w:ascii="仿宋_GB2312" w:eastAsia="仿宋_GB2312" w:cs="宋体"/>
          <w:color w:val="auto"/>
          <w:kern w:val="2"/>
          <w:sz w:val="32"/>
          <w:szCs w:val="32"/>
          <w:u w:val="none"/>
          <w:lang w:val="en-US" w:eastAsia="zh-CN" w:bidi="ar-SA"/>
        </w:rPr>
        <w:t>2</w:t>
      </w:r>
    </w:p>
    <w:p w14:paraId="0BABCAEE">
      <w:pPr>
        <w:pStyle w:val="2"/>
        <w:keepNext w:val="0"/>
        <w:keepLines w:val="0"/>
        <w:pageBreakBefore w:val="0"/>
        <w:widowControl w:val="0"/>
        <w:kinsoku/>
        <w:overflowPunct w:val="0"/>
        <w:topLinePunct w:val="0"/>
        <w:autoSpaceDE w:val="0"/>
        <w:autoSpaceDN w:val="0"/>
        <w:bidi w:val="0"/>
        <w:adjustRightInd w:val="0"/>
        <w:snapToGrid/>
        <w:spacing w:beforeAutospacing="0" w:after="0" w:afterAutospacing="0" w:line="400" w:lineRule="exact"/>
        <w:ind w:left="0" w:firstLine="0"/>
        <w:rPr>
          <w:rFonts w:hint="eastAsia" w:ascii="黑体" w:eastAsia="黑体" w:cs="Times New Roman"/>
          <w:color w:val="auto"/>
          <w:kern w:val="0"/>
          <w:sz w:val="32"/>
          <w:szCs w:val="32"/>
          <w:u w:val="none"/>
          <w:lang w:val="en-US" w:eastAsia="zh-CN" w:bidi="ar-SA"/>
        </w:rPr>
      </w:pPr>
    </w:p>
    <w:p w14:paraId="1E6B2C5A">
      <w:pPr>
        <w:keepNext w:val="0"/>
        <w:keepLines w:val="0"/>
        <w:pageBreakBefore w:val="0"/>
        <w:widowControl w:val="0"/>
        <w:kinsoku/>
        <w:topLinePunct w:val="0"/>
        <w:bidi w:val="0"/>
        <w:snapToGrid/>
        <w:spacing w:beforeAutospacing="0" w:afterAutospacing="0" w:line="700" w:lineRule="exact"/>
        <w:jc w:val="center"/>
        <w:rPr>
          <w:rFonts w:hint="eastAsia" w:ascii="方正小标宋简体" w:hAnsi="仿宋" w:eastAsia="方正小标宋简体" w:cs="仿宋"/>
          <w:color w:val="auto"/>
          <w:sz w:val="30"/>
          <w:szCs w:val="30"/>
          <w:u w:val="none"/>
          <w:lang w:val="en-US" w:eastAsia="zh-CN" w:bidi="ar-SA"/>
        </w:rPr>
      </w:pPr>
      <w:r>
        <w:rPr>
          <w:rFonts w:hint="eastAsia" w:ascii="方正小标宋简体" w:hAnsi="仿宋" w:eastAsia="方正小标宋简体" w:cs="仿宋"/>
          <w:color w:val="auto"/>
          <w:sz w:val="44"/>
          <w:szCs w:val="44"/>
          <w:u w:val="none"/>
          <w:lang w:val="en-US" w:eastAsia="zh-CN" w:bidi="ar-SA"/>
        </w:rPr>
        <w:t>《泉州市生态环境系统包容审慎监管执法“四张清单”</w:t>
      </w:r>
      <w:r>
        <w:rPr>
          <w:rFonts w:hint="eastAsia" w:ascii="方正小标宋简体" w:hAnsi="仿宋" w:eastAsia="方正小标宋简体" w:cs="仿宋"/>
          <w:color w:val="auto"/>
          <w:sz w:val="32"/>
          <w:szCs w:val="32"/>
          <w:u w:val="none"/>
          <w:lang w:val="en-US" w:eastAsia="zh-CN" w:bidi="ar-SA"/>
        </w:rPr>
        <w:t>（修订对比稿）</w:t>
      </w:r>
      <w:r>
        <w:rPr>
          <w:rFonts w:hint="eastAsia" w:ascii="方正小标宋简体" w:hAnsi="仿宋" w:eastAsia="方正小标宋简体" w:cs="仿宋"/>
          <w:color w:val="auto"/>
          <w:sz w:val="44"/>
          <w:szCs w:val="44"/>
          <w:u w:val="none"/>
          <w:lang w:val="en-US" w:eastAsia="zh-CN" w:bidi="ar-SA"/>
        </w:rPr>
        <w:t>》</w:t>
      </w:r>
    </w:p>
    <w:p w14:paraId="302FA44C">
      <w:pPr>
        <w:keepNext w:val="0"/>
        <w:keepLines w:val="0"/>
        <w:pageBreakBefore w:val="0"/>
        <w:widowControl w:val="0"/>
        <w:kinsoku/>
        <w:topLinePunct w:val="0"/>
        <w:bidi w:val="0"/>
        <w:snapToGrid/>
        <w:spacing w:beforeAutospacing="0" w:afterAutospacing="0" w:line="700" w:lineRule="exact"/>
        <w:jc w:val="center"/>
        <w:rPr>
          <w:rFonts w:hint="eastAsia" w:eastAsia="宋体"/>
          <w:sz w:val="21"/>
          <w:u w:val="none"/>
          <w:lang w:eastAsia="zh-CN"/>
        </w:rPr>
      </w:pPr>
      <w:r>
        <w:rPr>
          <w:rFonts w:hint="eastAsia" w:ascii="方正小标宋简体" w:hAnsi="仿宋" w:eastAsia="方正小标宋简体" w:cs="仿宋"/>
          <w:color w:val="auto"/>
          <w:sz w:val="44"/>
          <w:szCs w:val="44"/>
          <w:u w:val="none"/>
          <w:lang w:val="en-US" w:eastAsia="zh-CN" w:bidi="ar-SA"/>
        </w:rPr>
        <w:t>不予行政处罚事项清单</w:t>
      </w:r>
    </w:p>
    <w:tbl>
      <w:tblPr>
        <w:tblStyle w:val="14"/>
        <w:tblpPr w:leftFromText="180" w:rightFromText="180" w:vertAnchor="text" w:horzAnchor="page" w:tblpXSpec="center" w:tblpY="606"/>
        <w:tblOverlap w:val="never"/>
        <w:tblW w:w="1470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08"/>
        <w:gridCol w:w="1696"/>
        <w:gridCol w:w="4016"/>
        <w:gridCol w:w="6855"/>
        <w:gridCol w:w="1432"/>
      </w:tblGrid>
      <w:tr w14:paraId="331643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14707" w:type="dxa"/>
            <w:gridSpan w:val="5"/>
            <w:vAlign w:val="center"/>
          </w:tcPr>
          <w:p w14:paraId="72BDAD6F">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eastAsia="仿宋_GB2312" w:cs="宋体"/>
                <w:color w:val="auto"/>
                <w:sz w:val="22"/>
                <w:szCs w:val="22"/>
                <w:u w:val="none"/>
                <w:lang w:val="en-US" w:eastAsia="zh-CN" w:bidi="ar-SA"/>
              </w:rPr>
            </w:pPr>
            <w:r>
              <w:rPr>
                <w:rFonts w:hint="eastAsia" w:ascii="黑体" w:eastAsia="黑体" w:cs="黑体"/>
                <w:color w:val="auto"/>
                <w:sz w:val="24"/>
                <w:szCs w:val="24"/>
                <w:u w:val="none"/>
                <w:lang w:val="en-US" w:eastAsia="zh-CN" w:bidi="ar-SA"/>
              </w:rPr>
              <w:t>一</w:t>
            </w:r>
            <w:r>
              <w:rPr>
                <w:rFonts w:hint="eastAsia" w:ascii="黑体" w:eastAsia="黑体" w:cs="黑体"/>
                <w:color w:val="auto"/>
                <w:sz w:val="24"/>
                <w:szCs w:val="24"/>
                <w:u w:val="none"/>
                <w:lang w:bidi="ar-SA"/>
              </w:rPr>
              <w:t>、下列违法行为轻微并及时改正，没有造成危害后果的，不予行政处罚</w:t>
            </w:r>
          </w:p>
        </w:tc>
      </w:tr>
      <w:tr w14:paraId="1A0032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708" w:type="dxa"/>
            <w:vAlign w:val="center"/>
          </w:tcPr>
          <w:p w14:paraId="641D7726">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s="Times New Roman"/>
                <w:color w:val="auto"/>
                <w:kern w:val="0"/>
                <w:sz w:val="24"/>
                <w:szCs w:val="24"/>
                <w:u w:val="none"/>
                <w:lang w:val="en-US" w:eastAsia="zh-CN" w:bidi="ar-SA"/>
              </w:rPr>
            </w:pPr>
            <w:r>
              <w:rPr>
                <w:rFonts w:hint="eastAsia" w:ascii="黑体" w:hAnsi="Times New Roman" w:eastAsia="黑体"/>
                <w:color w:val="auto"/>
                <w:kern w:val="0"/>
                <w:sz w:val="24"/>
                <w:szCs w:val="24"/>
                <w:u w:val="none"/>
              </w:rPr>
              <w:t>序号</w:t>
            </w:r>
          </w:p>
        </w:tc>
        <w:tc>
          <w:tcPr>
            <w:tcW w:w="1696" w:type="dxa"/>
            <w:vAlign w:val="center"/>
          </w:tcPr>
          <w:p w14:paraId="0D8D3C4C">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s="Times New Roman"/>
                <w:color w:val="auto"/>
                <w:kern w:val="0"/>
                <w:sz w:val="24"/>
                <w:szCs w:val="24"/>
                <w:u w:val="none"/>
                <w:lang w:val="en-US" w:eastAsia="zh-CN" w:bidi="ar-SA"/>
              </w:rPr>
            </w:pPr>
            <w:r>
              <w:rPr>
                <w:rFonts w:hint="eastAsia" w:ascii="黑体" w:hAnsi="Times New Roman" w:eastAsia="黑体"/>
                <w:color w:val="auto"/>
                <w:kern w:val="0"/>
                <w:sz w:val="24"/>
                <w:szCs w:val="24"/>
                <w:u w:val="none"/>
                <w:lang w:eastAsia="zh-CN"/>
              </w:rPr>
              <w:t>行政处罚事项</w:t>
            </w:r>
          </w:p>
        </w:tc>
        <w:tc>
          <w:tcPr>
            <w:tcW w:w="4016" w:type="dxa"/>
            <w:vAlign w:val="center"/>
          </w:tcPr>
          <w:p w14:paraId="15797487">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s="Times New Roman"/>
                <w:color w:val="auto"/>
                <w:kern w:val="0"/>
                <w:sz w:val="24"/>
                <w:szCs w:val="24"/>
                <w:u w:val="none"/>
                <w:lang w:val="en-US" w:eastAsia="zh-CN" w:bidi="ar-SA"/>
              </w:rPr>
            </w:pPr>
            <w:r>
              <w:rPr>
                <w:rFonts w:hint="eastAsia" w:ascii="黑体" w:hAnsi="Times New Roman" w:eastAsia="黑体"/>
                <w:color w:val="auto"/>
                <w:kern w:val="0"/>
                <w:sz w:val="24"/>
                <w:szCs w:val="24"/>
                <w:u w:val="none"/>
                <w:lang w:eastAsia="zh-CN"/>
              </w:rPr>
              <w:t>不予处罚适用条件</w:t>
            </w:r>
          </w:p>
        </w:tc>
        <w:tc>
          <w:tcPr>
            <w:tcW w:w="6855" w:type="dxa"/>
            <w:vAlign w:val="center"/>
          </w:tcPr>
          <w:p w14:paraId="52DFCD2D">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s="Times New Roman"/>
                <w:color w:val="auto"/>
                <w:kern w:val="0"/>
                <w:sz w:val="24"/>
                <w:szCs w:val="24"/>
                <w:u w:val="none"/>
                <w:lang w:val="en-US" w:eastAsia="zh-CN" w:bidi="ar-SA"/>
              </w:rPr>
            </w:pPr>
            <w:r>
              <w:rPr>
                <w:rFonts w:hint="eastAsia" w:ascii="黑体" w:hAnsi="Times New Roman" w:eastAsia="黑体"/>
                <w:color w:val="auto"/>
                <w:kern w:val="0"/>
                <w:sz w:val="24"/>
                <w:szCs w:val="24"/>
                <w:u w:val="none"/>
              </w:rPr>
              <w:t>法定依据</w:t>
            </w:r>
          </w:p>
        </w:tc>
        <w:tc>
          <w:tcPr>
            <w:tcW w:w="1432" w:type="dxa"/>
            <w:vAlign w:val="center"/>
          </w:tcPr>
          <w:p w14:paraId="4F8E60BD">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s="Times New Roman"/>
                <w:color w:val="auto"/>
                <w:kern w:val="0"/>
                <w:sz w:val="24"/>
                <w:szCs w:val="24"/>
                <w:u w:val="none"/>
                <w:lang w:val="en-US" w:eastAsia="zh-CN" w:bidi="ar-SA"/>
              </w:rPr>
            </w:pPr>
            <w:r>
              <w:rPr>
                <w:rFonts w:hint="eastAsia" w:ascii="黑体" w:hAnsi="Times New Roman" w:eastAsia="黑体"/>
                <w:color w:val="auto"/>
                <w:kern w:val="0"/>
                <w:sz w:val="24"/>
                <w:szCs w:val="24"/>
                <w:u w:val="none"/>
                <w:lang w:val="en-US" w:eastAsia="zh-CN"/>
              </w:rPr>
              <w:t>备注</w:t>
            </w:r>
          </w:p>
        </w:tc>
      </w:tr>
      <w:tr w14:paraId="5E1319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708" w:type="dxa"/>
            <w:vAlign w:val="center"/>
          </w:tcPr>
          <w:p w14:paraId="42B776A9">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hAnsi="Calibri" w:eastAsia="仿宋_GB2312" w:cs="宋体"/>
                <w:color w:val="auto"/>
                <w:kern w:val="2"/>
                <w:sz w:val="22"/>
                <w:szCs w:val="21"/>
                <w:u w:val="none"/>
                <w:lang w:val="en-US" w:eastAsia="zh-CN" w:bidi="ar-SA"/>
              </w:rPr>
            </w:pPr>
            <w:r>
              <w:rPr>
                <w:rFonts w:hint="eastAsia" w:ascii="仿宋_GB2312" w:eastAsia="仿宋_GB2312" w:cs="宋体"/>
                <w:color w:val="auto"/>
                <w:sz w:val="22"/>
                <w:szCs w:val="22"/>
                <w:u w:val="none"/>
                <w:lang w:bidi="ar-SA"/>
              </w:rPr>
              <w:t>1</w:t>
            </w:r>
          </w:p>
        </w:tc>
        <w:tc>
          <w:tcPr>
            <w:tcW w:w="1696" w:type="dxa"/>
            <w:vAlign w:val="center"/>
          </w:tcPr>
          <w:p w14:paraId="24789AA2">
            <w:pPr>
              <w:keepNext w:val="0"/>
              <w:keepLines w:val="0"/>
              <w:pageBreakBefore w:val="0"/>
              <w:widowControl w:val="0"/>
              <w:kinsoku/>
              <w:wordWrap/>
              <w:topLinePunct w:val="0"/>
              <w:bidi w:val="0"/>
              <w:snapToGrid/>
              <w:spacing w:beforeAutospacing="0" w:afterAutospacing="0" w:line="320" w:lineRule="exact"/>
              <w:jc w:val="both"/>
              <w:rPr>
                <w:rFonts w:hint="eastAsia" w:ascii="仿宋_GB2312" w:hAnsi="Calibri" w:eastAsia="仿宋_GB2312" w:cs="宋体"/>
                <w:color w:val="auto"/>
                <w:kern w:val="2"/>
                <w:sz w:val="22"/>
                <w:szCs w:val="21"/>
                <w:u w:val="none"/>
                <w:lang w:val="en-US" w:eastAsia="zh-CN" w:bidi="ar-SA"/>
              </w:rPr>
            </w:pPr>
            <w:r>
              <w:rPr>
                <w:rFonts w:hint="eastAsia" w:ascii="仿宋_GB2312" w:eastAsia="仿宋_GB2312" w:cs="宋体"/>
                <w:color w:val="auto"/>
                <w:sz w:val="22"/>
                <w:szCs w:val="22"/>
                <w:u w:val="none"/>
                <w:lang w:bidi="ar-SA"/>
              </w:rPr>
              <w:t>对生产、销售、使用放射性同位素与射线装置的单位未按规定时间报送安全和防护状况年度评估报告的处罚</w:t>
            </w:r>
          </w:p>
        </w:tc>
        <w:tc>
          <w:tcPr>
            <w:tcW w:w="4016" w:type="dxa"/>
            <w:vAlign w:val="center"/>
          </w:tcPr>
          <w:p w14:paraId="02EA5512">
            <w:pPr>
              <w:keepNext w:val="0"/>
              <w:keepLines w:val="0"/>
              <w:pageBreakBefore w:val="0"/>
              <w:widowControl w:val="0"/>
              <w:kinsoku/>
              <w:wordWrap/>
              <w:topLinePunct w:val="0"/>
              <w:bidi w:val="0"/>
              <w:snapToGrid/>
              <w:spacing w:beforeAutospacing="0" w:afterAutospacing="0" w:line="320" w:lineRule="exact"/>
              <w:rPr>
                <w:rFonts w:hint="eastAsia" w:ascii="仿宋_GB2312" w:hAnsi="Calibri" w:eastAsia="仿宋_GB2312" w:cs="宋体"/>
                <w:color w:val="auto"/>
                <w:kern w:val="2"/>
                <w:sz w:val="22"/>
                <w:szCs w:val="21"/>
                <w:u w:val="none"/>
                <w:lang w:val="en-US" w:eastAsia="zh-CN" w:bidi="ar-SA"/>
              </w:rPr>
            </w:pPr>
            <w:r>
              <w:rPr>
                <w:rFonts w:hint="eastAsia" w:ascii="仿宋_GB2312" w:eastAsia="仿宋_GB2312" w:cs="宋体"/>
                <w:color w:val="auto"/>
                <w:sz w:val="22"/>
                <w:szCs w:val="22"/>
                <w:u w:val="none"/>
                <w:lang w:bidi="ar-SA"/>
              </w:rPr>
              <w:t>未按规定时间报送安全和防护状况年度评估报告，逾期时间不超过30日，</w:t>
            </w:r>
            <w:r>
              <w:rPr>
                <w:rFonts w:hint="eastAsia" w:ascii="仿宋_GB2312" w:eastAsia="仿宋_GB2312" w:cs="宋体"/>
                <w:color w:val="auto"/>
                <w:sz w:val="22"/>
                <w:szCs w:val="22"/>
                <w:u w:val="none"/>
                <w:lang w:val="en-US" w:eastAsia="zh-CN" w:bidi="ar-SA"/>
              </w:rPr>
              <w:t>并在</w:t>
            </w:r>
            <w:r>
              <w:rPr>
                <w:rFonts w:hint="eastAsia" w:ascii="仿宋_GB2312" w:eastAsia="仿宋_GB2312" w:cs="宋体"/>
                <w:color w:val="auto"/>
                <w:sz w:val="22"/>
                <w:szCs w:val="22"/>
                <w:u w:val="none"/>
                <w:lang w:bidi="ar-SA"/>
              </w:rPr>
              <w:t>5个工作日内</w:t>
            </w:r>
            <w:r>
              <w:rPr>
                <w:rFonts w:hint="eastAsia" w:ascii="仿宋_GB2312" w:eastAsia="仿宋_GB2312" w:cs="宋体"/>
                <w:color w:val="auto"/>
                <w:sz w:val="22"/>
                <w:szCs w:val="22"/>
                <w:u w:val="none"/>
                <w:lang w:eastAsia="zh-CN" w:bidi="ar-SA"/>
              </w:rPr>
              <w:t>改正</w:t>
            </w:r>
            <w:r>
              <w:rPr>
                <w:rFonts w:hint="eastAsia" w:ascii="仿宋_GB2312" w:eastAsia="仿宋_GB2312" w:cs="宋体"/>
                <w:color w:val="auto"/>
                <w:sz w:val="22"/>
                <w:szCs w:val="22"/>
                <w:u w:val="none"/>
                <w:lang w:bidi="ar-SA"/>
              </w:rPr>
              <w:t>的。</w:t>
            </w:r>
          </w:p>
        </w:tc>
        <w:tc>
          <w:tcPr>
            <w:tcW w:w="6855" w:type="dxa"/>
            <w:vAlign w:val="center"/>
          </w:tcPr>
          <w:p w14:paraId="42EFF099">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u w:val="none"/>
                <w:lang w:bidi="ar-SA"/>
              </w:rPr>
            </w:pPr>
            <w:r>
              <w:rPr>
                <w:rFonts w:hint="eastAsia" w:ascii="仿宋_GB2312" w:eastAsia="仿宋_GB2312" w:cs="宋体"/>
                <w:color w:val="auto"/>
                <w:sz w:val="22"/>
                <w:szCs w:val="22"/>
                <w:u w:val="none"/>
                <w:lang w:bidi="ar-SA"/>
              </w:rPr>
              <w:t>《放射性同位素与射线装置安全和防护管理办法》</w:t>
            </w:r>
          </w:p>
          <w:p w14:paraId="0189C985">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u w:val="none"/>
                <w:lang w:bidi="ar-SA"/>
              </w:rPr>
            </w:pPr>
            <w:r>
              <w:rPr>
                <w:rFonts w:hint="eastAsia" w:ascii="仿宋_GB2312" w:eastAsia="仿宋_GB2312" w:cs="宋体"/>
                <w:color w:val="auto"/>
                <w:sz w:val="22"/>
                <w:szCs w:val="22"/>
                <w:u w:val="none"/>
                <w:lang w:bidi="ar-SA"/>
              </w:rPr>
              <w:t>第十二条</w:t>
            </w:r>
            <w:r>
              <w:rPr>
                <w:rFonts w:hint="eastAsia" w:ascii="仿宋_GB2312" w:eastAsia="仿宋_GB2312" w:cs="宋体"/>
                <w:color w:val="auto"/>
                <w:sz w:val="22"/>
                <w:szCs w:val="22"/>
                <w:u w:val="none"/>
                <w:lang w:val="en-US" w:eastAsia="zh-CN" w:bidi="ar-SA"/>
              </w:rPr>
              <w:t xml:space="preserve"> </w:t>
            </w:r>
            <w:r>
              <w:rPr>
                <w:rFonts w:hint="eastAsia" w:ascii="仿宋_GB2312" w:eastAsia="仿宋_GB2312" w:cs="宋体"/>
                <w:color w:val="auto"/>
                <w:sz w:val="22"/>
                <w:szCs w:val="22"/>
                <w:u w:val="none"/>
                <w:lang w:bidi="ar-SA"/>
              </w:rPr>
              <w:t>生产、销售、使用放射性同位素与射线装置的单位，应当对本单位的放射性同位素与射线装置的安全和防护状况进行年度评估，并于每年1月31日前向发证机关提交上一年度的评估报告。</w:t>
            </w:r>
          </w:p>
          <w:p w14:paraId="12602F8D">
            <w:pPr>
              <w:keepNext w:val="0"/>
              <w:keepLines w:val="0"/>
              <w:pageBreakBefore w:val="0"/>
              <w:widowControl w:val="0"/>
              <w:kinsoku/>
              <w:wordWrap/>
              <w:topLinePunct w:val="0"/>
              <w:bidi w:val="0"/>
              <w:snapToGrid/>
              <w:spacing w:beforeAutospacing="0" w:afterAutospacing="0" w:line="320" w:lineRule="exact"/>
              <w:ind w:firstLine="440" w:firstLineChars="200"/>
              <w:rPr>
                <w:rFonts w:eastAsia="宋体"/>
                <w:color w:val="auto"/>
                <w:sz w:val="22"/>
                <w:szCs w:val="22"/>
                <w:u w:val="none"/>
              </w:rPr>
            </w:pPr>
            <w:r>
              <w:rPr>
                <w:rFonts w:hint="eastAsia" w:ascii="仿宋_GB2312" w:eastAsia="仿宋_GB2312" w:cs="宋体"/>
                <w:color w:val="auto"/>
                <w:sz w:val="22"/>
                <w:szCs w:val="22"/>
                <w:u w:val="none"/>
                <w:lang w:bidi="ar-SA"/>
              </w:rPr>
              <w:t>第五十五条</w:t>
            </w:r>
            <w:r>
              <w:rPr>
                <w:rFonts w:hint="eastAsia" w:ascii="仿宋_GB2312" w:eastAsia="仿宋_GB2312" w:cs="宋体"/>
                <w:color w:val="auto"/>
                <w:sz w:val="22"/>
                <w:szCs w:val="22"/>
                <w:u w:val="none"/>
                <w:lang w:val="en-US" w:eastAsia="zh-CN" w:bidi="ar-SA"/>
              </w:rPr>
              <w:t xml:space="preserve"> 第二项 </w:t>
            </w:r>
            <w:r>
              <w:rPr>
                <w:rFonts w:hint="eastAsia" w:ascii="仿宋_GB2312" w:eastAsia="仿宋_GB2312" w:cs="宋体"/>
                <w:color w:val="auto"/>
                <w:sz w:val="22"/>
                <w:szCs w:val="22"/>
                <w:u w:val="none"/>
                <w:lang w:bidi="ar-SA"/>
              </w:rPr>
              <w:t xml:space="preserve"> 违反本办法规定，生产、销售、使用放射性同位素与射线装置的单位有下列行为之一的，由原辐射安全许可证发证机关给予警告，责令限期改正；逾期不改正的，处一万元以上三万元以下的罚款：</w:t>
            </w:r>
          </w:p>
          <w:p w14:paraId="0FF7DA0E">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hAnsi="Calibri" w:eastAsia="仿宋_GB2312" w:cs="宋体"/>
                <w:color w:val="auto"/>
                <w:kern w:val="2"/>
                <w:sz w:val="22"/>
                <w:szCs w:val="21"/>
                <w:u w:val="none"/>
                <w:lang w:val="en-US" w:eastAsia="zh-CN" w:bidi="ar-SA"/>
              </w:rPr>
            </w:pPr>
            <w:r>
              <w:rPr>
                <w:rFonts w:hint="eastAsia" w:ascii="仿宋_GB2312" w:eastAsia="仿宋_GB2312" w:cs="宋体"/>
                <w:color w:val="auto"/>
                <w:sz w:val="22"/>
                <w:szCs w:val="22"/>
                <w:u w:val="none"/>
                <w:lang w:bidi="ar-SA"/>
              </w:rPr>
              <w:t>（二）未按规定时间报送安全和防护状况年度评估报告的</w:t>
            </w:r>
            <w:r>
              <w:rPr>
                <w:rFonts w:hint="eastAsia" w:ascii="仿宋_GB2312" w:eastAsia="仿宋_GB2312" w:cs="宋体"/>
                <w:color w:val="auto"/>
                <w:sz w:val="22"/>
                <w:szCs w:val="22"/>
                <w:u w:val="none"/>
                <w:lang w:eastAsia="zh-CN" w:bidi="ar-SA"/>
              </w:rPr>
              <w:t>。</w:t>
            </w:r>
          </w:p>
        </w:tc>
        <w:tc>
          <w:tcPr>
            <w:tcW w:w="1432" w:type="dxa"/>
            <w:vAlign w:val="center"/>
          </w:tcPr>
          <w:p w14:paraId="1E295CD1">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cs="宋体"/>
                <w:color w:val="auto"/>
                <w:kern w:val="2"/>
                <w:sz w:val="22"/>
                <w:szCs w:val="21"/>
                <w:highlight w:val="yellow"/>
                <w:u w:val="none"/>
                <w:lang w:val="en-US" w:eastAsia="zh-CN" w:bidi="ar-SA"/>
              </w:rPr>
            </w:pPr>
            <w:r>
              <w:rPr>
                <w:rFonts w:hint="eastAsia" w:ascii="仿宋_GB2312" w:cs="宋体"/>
                <w:color w:val="auto"/>
                <w:kern w:val="2"/>
                <w:sz w:val="22"/>
                <w:szCs w:val="21"/>
                <w:highlight w:val="yellow"/>
                <w:u w:val="none"/>
                <w:lang w:val="en-US" w:eastAsia="zh-CN" w:bidi="ar-SA"/>
              </w:rPr>
              <w:t>后续衔接《放射性同位素与射线装置安全和防护管理办法》</w:t>
            </w:r>
          </w:p>
          <w:p w14:paraId="4601C89B">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hAnsi="Calibri" w:eastAsia="仿宋_GB2312" w:cs="宋体"/>
                <w:color w:val="auto"/>
                <w:kern w:val="2"/>
                <w:sz w:val="22"/>
                <w:szCs w:val="21"/>
                <w:u w:val="none"/>
                <w:lang w:val="en-US" w:eastAsia="zh-CN" w:bidi="ar-SA"/>
              </w:rPr>
            </w:pPr>
            <w:r>
              <w:rPr>
                <w:rFonts w:hint="eastAsia" w:ascii="仿宋_GB2312" w:cs="宋体"/>
                <w:color w:val="auto"/>
                <w:kern w:val="2"/>
                <w:sz w:val="22"/>
                <w:szCs w:val="21"/>
                <w:highlight w:val="yellow"/>
                <w:u w:val="none"/>
                <w:lang w:val="en-US" w:eastAsia="zh-CN" w:bidi="ar-SA"/>
              </w:rPr>
              <w:t>修改</w:t>
            </w:r>
          </w:p>
        </w:tc>
      </w:tr>
      <w:tr w14:paraId="75F1E1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20" w:hRule="atLeast"/>
        </w:trPr>
        <w:tc>
          <w:tcPr>
            <w:tcW w:w="708" w:type="dxa"/>
            <w:vAlign w:val="center"/>
          </w:tcPr>
          <w:p w14:paraId="097D2646">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u w:val="none"/>
                <w:lang w:bidi="ar-SA"/>
              </w:rPr>
            </w:pPr>
            <w:r>
              <w:rPr>
                <w:rFonts w:hint="eastAsia" w:ascii="仿宋_GB2312" w:eastAsia="仿宋_GB2312" w:cs="宋体"/>
                <w:color w:val="auto"/>
                <w:sz w:val="22"/>
                <w:szCs w:val="22"/>
                <w:u w:val="none"/>
                <w:lang w:val="en-US" w:eastAsia="zh-CN" w:bidi="ar-SA"/>
              </w:rPr>
              <w:t>2</w:t>
            </w:r>
          </w:p>
        </w:tc>
        <w:tc>
          <w:tcPr>
            <w:tcW w:w="1696" w:type="dxa"/>
            <w:vAlign w:val="center"/>
          </w:tcPr>
          <w:p w14:paraId="651ED064">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bidi="ar-SA"/>
              </w:rPr>
            </w:pPr>
            <w:r>
              <w:rPr>
                <w:rFonts w:hint="eastAsia" w:ascii="仿宋_GB2312" w:eastAsia="仿宋_GB2312" w:cs="宋体"/>
                <w:color w:val="auto"/>
                <w:sz w:val="22"/>
                <w:szCs w:val="22"/>
                <w:u w:val="none"/>
                <w:lang w:val="en-US" w:eastAsia="zh-CN" w:bidi="ar-SA"/>
              </w:rPr>
              <w:t>对水电站未执行最小生态下泄流量规定的处罚</w:t>
            </w:r>
          </w:p>
        </w:tc>
        <w:tc>
          <w:tcPr>
            <w:tcW w:w="4016" w:type="dxa"/>
            <w:vAlign w:val="center"/>
          </w:tcPr>
          <w:p w14:paraId="2046CC99">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bidi="ar-SA"/>
              </w:rPr>
            </w:pPr>
            <w:r>
              <w:rPr>
                <w:rFonts w:hint="eastAsia" w:ascii="仿宋_GB2312" w:eastAsia="仿宋_GB2312" w:cs="宋体"/>
                <w:color w:val="auto"/>
                <w:sz w:val="22"/>
                <w:szCs w:val="22"/>
                <w:highlight w:val="yellow"/>
                <w:u w:val="none"/>
                <w:lang w:val="en-US" w:eastAsia="zh-CN" w:bidi="ar-SA"/>
              </w:rPr>
              <w:t>上一</w:t>
            </w:r>
            <w:r>
              <w:rPr>
                <w:rFonts w:hint="eastAsia" w:ascii="仿宋_GB2312" w:eastAsia="仿宋_GB2312" w:cs="宋体"/>
                <w:color w:val="auto"/>
                <w:sz w:val="22"/>
                <w:szCs w:val="22"/>
                <w:highlight w:val="none"/>
                <w:u w:val="none"/>
                <w:lang w:val="en-US" w:eastAsia="zh-CN" w:bidi="ar-SA"/>
              </w:rPr>
              <w:t>月</w:t>
            </w:r>
            <w:r>
              <w:rPr>
                <w:rFonts w:hint="eastAsia" w:ascii="仿宋_GB2312" w:eastAsia="仿宋_GB2312" w:cs="宋体"/>
                <w:color w:val="auto"/>
                <w:sz w:val="22"/>
                <w:szCs w:val="22"/>
                <w:highlight w:val="yellow"/>
                <w:u w:val="none"/>
                <w:lang w:val="en-US" w:eastAsia="zh-CN" w:bidi="ar-SA"/>
              </w:rPr>
              <w:t>度</w:t>
            </w:r>
            <w:r>
              <w:rPr>
                <w:rFonts w:hint="eastAsia" w:ascii="仿宋_GB2312" w:eastAsia="仿宋_GB2312" w:cs="宋体"/>
                <w:color w:val="auto"/>
                <w:sz w:val="22"/>
                <w:szCs w:val="22"/>
                <w:u w:val="none"/>
                <w:lang w:val="en-US" w:eastAsia="zh-CN" w:bidi="ar-SA"/>
              </w:rPr>
              <w:t>生态下泄流量</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合格率</w:t>
            </w:r>
            <w:r>
              <w:rPr>
                <w:rFonts w:ascii="Times New Roman" w:hAnsi="Times New Roman" w:eastAsia="楷体" w:cs="Times New Roman"/>
                <w:sz w:val="22"/>
                <w:szCs w:val="22"/>
              </w:rPr>
              <w:t>】</w:t>
            </w:r>
            <w:r>
              <w:rPr>
                <w:rFonts w:hint="eastAsia" w:ascii="仿宋_GB2312" w:eastAsia="仿宋_GB2312" w:cs="宋体"/>
                <w:color w:val="auto"/>
                <w:sz w:val="22"/>
                <w:szCs w:val="22"/>
                <w:highlight w:val="yellow"/>
                <w:u w:val="none"/>
                <w:lang w:val="en-US" w:eastAsia="zh-CN" w:bidi="ar-SA"/>
              </w:rPr>
              <w:t>达标率</w:t>
            </w:r>
            <w:r>
              <w:rPr>
                <w:rFonts w:hint="eastAsia" w:ascii="仿宋_GB2312" w:eastAsia="仿宋_GB2312" w:cs="宋体"/>
                <w:color w:val="auto"/>
                <w:sz w:val="22"/>
                <w:szCs w:val="22"/>
                <w:highlight w:val="none"/>
                <w:u w:val="none"/>
                <w:lang w:val="en-US" w:eastAsia="zh-CN" w:bidi="ar-SA"/>
              </w:rPr>
              <w:t>达到80%及以上，或者上</w:t>
            </w:r>
            <w:r>
              <w:rPr>
                <w:rFonts w:hint="eastAsia" w:ascii="仿宋_GB2312" w:eastAsia="仿宋_GB2312" w:cs="宋体"/>
                <w:color w:val="auto"/>
                <w:sz w:val="22"/>
                <w:szCs w:val="22"/>
                <w:highlight w:val="yellow"/>
                <w:u w:val="none"/>
                <w:lang w:val="en-US" w:eastAsia="zh-CN" w:bidi="ar-SA"/>
              </w:rPr>
              <w:t>一</w:t>
            </w:r>
            <w:r>
              <w:rPr>
                <w:rFonts w:hint="eastAsia" w:ascii="仿宋_GB2312" w:eastAsia="仿宋_GB2312" w:cs="宋体"/>
                <w:color w:val="auto"/>
                <w:sz w:val="22"/>
                <w:szCs w:val="22"/>
                <w:highlight w:val="none"/>
                <w:u w:val="none"/>
                <w:lang w:val="en-US" w:eastAsia="zh-CN" w:bidi="ar-SA"/>
              </w:rPr>
              <w:t>月</w:t>
            </w:r>
            <w:r>
              <w:rPr>
                <w:rFonts w:hint="eastAsia" w:ascii="仿宋_GB2312" w:cs="宋体"/>
                <w:color w:val="auto"/>
                <w:sz w:val="22"/>
                <w:szCs w:val="22"/>
                <w:highlight w:val="yellow"/>
                <w:u w:val="none"/>
                <w:lang w:val="en-US" w:eastAsia="zh-CN" w:bidi="ar-SA"/>
              </w:rPr>
              <w:t>度</w:t>
            </w:r>
            <w:r>
              <w:rPr>
                <w:rFonts w:hint="eastAsia" w:ascii="仿宋_GB2312" w:eastAsia="仿宋_GB2312" w:cs="宋体"/>
                <w:color w:val="auto"/>
                <w:sz w:val="22"/>
                <w:szCs w:val="22"/>
                <w:highlight w:val="none"/>
                <w:u w:val="none"/>
                <w:lang w:val="en-US" w:eastAsia="zh-CN" w:bidi="ar-SA"/>
              </w:rPr>
              <w:t>生态下泄流量</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合格率</w:t>
            </w:r>
            <w:r>
              <w:rPr>
                <w:rFonts w:ascii="Times New Roman" w:hAnsi="Times New Roman" w:eastAsia="楷体" w:cs="Times New Roman"/>
                <w:sz w:val="22"/>
                <w:szCs w:val="22"/>
              </w:rPr>
              <w:t>】</w:t>
            </w:r>
            <w:r>
              <w:rPr>
                <w:rFonts w:hint="eastAsia" w:ascii="仿宋_GB2312" w:eastAsia="仿宋_GB2312" w:cs="宋体"/>
                <w:color w:val="auto"/>
                <w:sz w:val="22"/>
                <w:szCs w:val="22"/>
                <w:highlight w:val="yellow"/>
                <w:u w:val="none"/>
                <w:lang w:val="en-US" w:eastAsia="zh-CN" w:bidi="ar-SA"/>
              </w:rPr>
              <w:t>达标率</w:t>
            </w:r>
            <w:r>
              <w:rPr>
                <w:rFonts w:hint="eastAsia" w:ascii="仿宋_GB2312" w:eastAsia="仿宋_GB2312" w:cs="宋体"/>
                <w:color w:val="auto"/>
                <w:sz w:val="22"/>
                <w:szCs w:val="22"/>
                <w:highlight w:val="none"/>
                <w:u w:val="none"/>
                <w:lang w:val="en-US" w:eastAsia="zh-CN" w:bidi="ar-SA"/>
              </w:rPr>
              <w:t>低于80%，经责令改正，本月</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合格率</w:t>
            </w:r>
            <w:r>
              <w:rPr>
                <w:rFonts w:ascii="Times New Roman" w:hAnsi="Times New Roman" w:eastAsia="楷体" w:cs="Times New Roman"/>
                <w:sz w:val="22"/>
                <w:szCs w:val="22"/>
              </w:rPr>
              <w:t>】</w:t>
            </w:r>
            <w:r>
              <w:rPr>
                <w:rFonts w:hint="eastAsia" w:ascii="仿宋_GB2312" w:eastAsia="仿宋_GB2312" w:cs="宋体"/>
                <w:color w:val="auto"/>
                <w:sz w:val="22"/>
                <w:szCs w:val="22"/>
                <w:highlight w:val="yellow"/>
                <w:u w:val="none"/>
                <w:lang w:val="en-US" w:eastAsia="zh-CN" w:bidi="ar-SA"/>
              </w:rPr>
              <w:t>达标率</w:t>
            </w:r>
            <w:r>
              <w:rPr>
                <w:rFonts w:hint="eastAsia" w:ascii="仿宋_GB2312" w:eastAsia="仿宋_GB2312" w:cs="宋体"/>
                <w:color w:val="auto"/>
                <w:sz w:val="22"/>
                <w:szCs w:val="22"/>
                <w:highlight w:val="none"/>
                <w:u w:val="none"/>
                <w:lang w:val="en-US" w:eastAsia="zh-CN" w:bidi="ar-SA"/>
              </w:rPr>
              <w:t>达到80%及以上的。</w:t>
            </w:r>
          </w:p>
        </w:tc>
        <w:tc>
          <w:tcPr>
            <w:tcW w:w="6855" w:type="dxa"/>
            <w:vAlign w:val="center"/>
          </w:tcPr>
          <w:p w14:paraId="54870AB9">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《福建省水污染防治条例》（自2021年11月1日起施行）</w:t>
            </w:r>
          </w:p>
          <w:p w14:paraId="59A1E839">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第三十六条 第三款  禁止新建、扩建以发电为主的水电站项目。已开发建设的水电站应当安装下泄流量在线监控装置，执行最小生态下泄流量和调水方案的有关规定。</w:t>
            </w:r>
          </w:p>
          <w:p w14:paraId="3D99B1AE">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u w:val="none"/>
                <w:lang w:bidi="ar-SA"/>
              </w:rPr>
            </w:pPr>
            <w:r>
              <w:rPr>
                <w:rFonts w:hint="eastAsia" w:ascii="仿宋_GB2312" w:eastAsia="仿宋_GB2312" w:cs="宋体"/>
                <w:color w:val="auto"/>
                <w:sz w:val="22"/>
                <w:szCs w:val="22"/>
                <w:u w:val="none"/>
                <w:lang w:val="en-US" w:eastAsia="zh-CN" w:bidi="ar-SA"/>
              </w:rPr>
              <w:t>第六十一条  违反本条例第三十六条第三款规定，水电站未执行最小生态下泄流量规定的，由省、设区的市人民政府生态环境主管部门或 者其派出机构责令限期改正；逾期未改正的，处五万元以上二十万元以下罚款。</w:t>
            </w:r>
          </w:p>
        </w:tc>
        <w:tc>
          <w:tcPr>
            <w:tcW w:w="1432" w:type="dxa"/>
            <w:vAlign w:val="center"/>
          </w:tcPr>
          <w:p w14:paraId="0C2CC4DE">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cs="宋体"/>
                <w:color w:val="auto"/>
                <w:kern w:val="2"/>
                <w:sz w:val="22"/>
                <w:szCs w:val="21"/>
                <w:highlight w:val="yellow"/>
                <w:u w:val="none"/>
                <w:lang w:val="en-US" w:eastAsia="zh-CN" w:bidi="ar-SA"/>
              </w:rPr>
            </w:pPr>
            <w:r>
              <w:rPr>
                <w:rFonts w:hint="eastAsia" w:ascii="仿宋_GB2312" w:cs="宋体"/>
                <w:color w:val="auto"/>
                <w:kern w:val="2"/>
                <w:sz w:val="22"/>
                <w:szCs w:val="21"/>
                <w:highlight w:val="yellow"/>
                <w:u w:val="none"/>
                <w:lang w:val="en-US" w:eastAsia="zh-CN" w:bidi="ar-SA"/>
              </w:rPr>
              <w:t>后续衔接《福建省水污染防治条例》</w:t>
            </w:r>
          </w:p>
          <w:p w14:paraId="253B49F1">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eastAsia="仿宋_GB2312" w:cs="宋体"/>
                <w:color w:val="auto"/>
                <w:kern w:val="2"/>
                <w:sz w:val="22"/>
                <w:szCs w:val="21"/>
                <w:u w:val="none"/>
                <w:lang w:val="en-US" w:eastAsia="zh-CN" w:bidi="ar-SA"/>
              </w:rPr>
            </w:pPr>
            <w:r>
              <w:rPr>
                <w:rFonts w:hint="eastAsia" w:ascii="仿宋_GB2312" w:cs="宋体"/>
                <w:color w:val="auto"/>
                <w:kern w:val="2"/>
                <w:sz w:val="22"/>
                <w:szCs w:val="21"/>
                <w:highlight w:val="yellow"/>
                <w:u w:val="none"/>
                <w:lang w:val="en-US" w:eastAsia="zh-CN" w:bidi="ar-SA"/>
              </w:rPr>
              <w:t>修改</w:t>
            </w:r>
          </w:p>
        </w:tc>
      </w:tr>
      <w:tr w14:paraId="37E5D3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23" w:hRule="atLeast"/>
        </w:trPr>
        <w:tc>
          <w:tcPr>
            <w:tcW w:w="708" w:type="dxa"/>
            <w:vMerge w:val="restart"/>
            <w:vAlign w:val="center"/>
          </w:tcPr>
          <w:p w14:paraId="7EDCEF42">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3</w:t>
            </w:r>
          </w:p>
        </w:tc>
        <w:tc>
          <w:tcPr>
            <w:tcW w:w="1696" w:type="dxa"/>
            <w:vMerge w:val="restart"/>
            <w:vAlign w:val="center"/>
          </w:tcPr>
          <w:p w14:paraId="35442D6C">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对违反突发环境事件应急管理规定的处罚</w:t>
            </w:r>
          </w:p>
        </w:tc>
        <w:tc>
          <w:tcPr>
            <w:tcW w:w="4016" w:type="dxa"/>
            <w:vAlign w:val="center"/>
          </w:tcPr>
          <w:p w14:paraId="045FEB83">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（1）未按规定开展环境安全隐患排查治理工作，建立隐患排查治理档案：</w:t>
            </w:r>
          </w:p>
          <w:p w14:paraId="525BC0A6">
            <w:pPr>
              <w:keepNext w:val="0"/>
              <w:keepLines w:val="0"/>
              <w:pageBreakBefore w:val="0"/>
              <w:widowControl w:val="0"/>
              <w:kinsoku/>
              <w:wordWrap/>
              <w:topLinePunct w:val="0"/>
              <w:bidi w:val="0"/>
              <w:snapToGrid/>
              <w:spacing w:beforeAutospacing="0" w:afterAutospacing="0" w:line="320" w:lineRule="exact"/>
              <w:jc w:val="both"/>
              <w:rPr>
                <w:rFonts w:hint="eastAsia" w:ascii="宋体" w:hAnsi="宋体" w:eastAsia="宋体" w:cs="宋体"/>
                <w:color w:val="000000"/>
                <w:kern w:val="0"/>
                <w:sz w:val="24"/>
                <w:szCs w:val="24"/>
                <w:u w:val="none"/>
                <w:lang w:val="en-US" w:eastAsia="zh-CN"/>
              </w:rPr>
            </w:pPr>
            <w:r>
              <w:rPr>
                <w:rFonts w:hint="eastAsia" w:ascii="仿宋_GB2312" w:eastAsia="仿宋_GB2312" w:cs="宋体"/>
                <w:color w:val="auto"/>
                <w:sz w:val="22"/>
                <w:szCs w:val="22"/>
                <w:u w:val="none"/>
                <w:lang w:val="en-US" w:eastAsia="zh-CN" w:bidi="ar-SA"/>
              </w:rPr>
              <w:t>已按规范编制突发环境事件应急预案，风险评估为一般等级，三年内未发生突发环境事件，并在5个工作日内建立隐患排查治理制度和档案的。</w:t>
            </w:r>
          </w:p>
        </w:tc>
        <w:tc>
          <w:tcPr>
            <w:tcW w:w="6855" w:type="dxa"/>
            <w:vMerge w:val="restart"/>
            <w:vAlign w:val="center"/>
          </w:tcPr>
          <w:p w14:paraId="58063A47">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1.《中华人民共和国生态环境法典》</w:t>
            </w:r>
            <w:r>
              <w:rPr>
                <w:rFonts w:hint="eastAsia" w:ascii="仿宋_GB2312" w:eastAsia="仿宋_GB2312" w:cs="宋体"/>
                <w:color w:val="auto"/>
                <w:sz w:val="22"/>
                <w:szCs w:val="22"/>
                <w:highlight w:val="yellow"/>
                <w:u w:val="none"/>
                <w:lang w:val="en-US" w:eastAsia="zh-CN" w:bidi="ar-SA"/>
              </w:rPr>
              <w:t>（自20</w:t>
            </w:r>
            <w:r>
              <w:rPr>
                <w:rFonts w:hint="eastAsia" w:ascii="仿宋_GB2312" w:cs="宋体"/>
                <w:color w:val="auto"/>
                <w:sz w:val="22"/>
                <w:szCs w:val="22"/>
                <w:highlight w:val="yellow"/>
                <w:u w:val="none"/>
                <w:lang w:val="en-US" w:eastAsia="zh-CN" w:bidi="ar-SA"/>
              </w:rPr>
              <w:t>26</w:t>
            </w:r>
            <w:r>
              <w:rPr>
                <w:rFonts w:hint="eastAsia" w:ascii="仿宋_GB2312" w:eastAsia="仿宋_GB2312" w:cs="宋体"/>
                <w:color w:val="auto"/>
                <w:sz w:val="22"/>
                <w:szCs w:val="22"/>
                <w:highlight w:val="yellow"/>
                <w:u w:val="none"/>
                <w:lang w:val="en-US" w:eastAsia="zh-CN" w:bidi="ar-SA"/>
              </w:rPr>
              <w:t>年</w:t>
            </w:r>
            <w:r>
              <w:rPr>
                <w:rFonts w:hint="eastAsia" w:ascii="仿宋_GB2312" w:cs="宋体"/>
                <w:color w:val="auto"/>
                <w:sz w:val="22"/>
                <w:szCs w:val="22"/>
                <w:highlight w:val="yellow"/>
                <w:u w:val="none"/>
                <w:lang w:val="en-US" w:eastAsia="zh-CN" w:bidi="ar-SA"/>
              </w:rPr>
              <w:t>8</w:t>
            </w:r>
            <w:r>
              <w:rPr>
                <w:rFonts w:hint="eastAsia" w:ascii="仿宋_GB2312" w:eastAsia="仿宋_GB2312" w:cs="宋体"/>
                <w:color w:val="auto"/>
                <w:sz w:val="22"/>
                <w:szCs w:val="22"/>
                <w:highlight w:val="yellow"/>
                <w:u w:val="none"/>
                <w:lang w:val="en-US" w:eastAsia="zh-CN" w:bidi="ar-SA"/>
              </w:rPr>
              <w:t>月</w:t>
            </w: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highlight w:val="yellow"/>
                <w:u w:val="none"/>
                <w:lang w:val="en-US" w:eastAsia="zh-CN" w:bidi="ar-SA"/>
              </w:rPr>
              <w:t>5日起施行）</w:t>
            </w:r>
          </w:p>
          <w:p w14:paraId="38C16034">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第一千二百三十五条　违反本法规定，企业事业单位和其他生产经营者有下列情形之一的，由负有生态环境保护监督管理职责的部门、机构按照职责分工责令改正；情节严重的，处一万元以上五万元以下的罚款：</w:t>
            </w:r>
          </w:p>
          <w:p w14:paraId="220411F8">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ascii="仿宋_GB2312" w:eastAsia="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（一）未制定环境污染、生态破坏事故或者突发生态环境事件的应急预案；</w:t>
            </w:r>
          </w:p>
          <w:p w14:paraId="75682909">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ascii="仿宋_GB2312" w:eastAsia="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（二）应急预案未报备案；</w:t>
            </w:r>
          </w:p>
          <w:p w14:paraId="42E28159">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ascii="仿宋_GB2312" w:eastAsia="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（三）未配备应急设备、器材。</w:t>
            </w:r>
          </w:p>
          <w:p w14:paraId="7025126C">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highlight w:val="yellow"/>
                <w:u w:val="none"/>
                <w:lang w:val="en-US" w:eastAsia="zh-CN" w:bidi="ar-SA"/>
              </w:rPr>
              <w:t>2.</w:t>
            </w:r>
            <w:r>
              <w:rPr>
                <w:rFonts w:hint="eastAsia" w:ascii="仿宋_GB2312" w:eastAsia="仿宋_GB2312" w:cs="宋体"/>
                <w:color w:val="auto"/>
                <w:sz w:val="22"/>
                <w:szCs w:val="22"/>
                <w:u w:val="none"/>
                <w:lang w:val="en-US" w:eastAsia="zh-CN" w:bidi="ar-SA"/>
              </w:rPr>
              <w:t>《突发环境事件应急管理办法》（自2015年6月5日起施行）</w:t>
            </w:r>
          </w:p>
          <w:p w14:paraId="06A06961">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第三十八条  企业事业单位有下列情形之一的，由县级以上环境保护主管部门责令改正，可以处一万元以上三万元以下罚款：</w:t>
            </w:r>
          </w:p>
          <w:p w14:paraId="08483975">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pacing w:val="-6"/>
                <w:sz w:val="22"/>
                <w:szCs w:val="22"/>
                <w:u w:val="none"/>
                <w:lang w:val="en-US" w:eastAsia="zh-CN" w:bidi="ar-SA"/>
              </w:rPr>
            </w:pPr>
            <w:r>
              <w:rPr>
                <w:rFonts w:hint="eastAsia" w:ascii="仿宋_GB2312" w:eastAsia="仿宋_GB2312" w:cs="宋体"/>
                <w:color w:val="auto"/>
                <w:sz w:val="22"/>
                <w:szCs w:val="22"/>
                <w:u w:val="none"/>
                <w:lang w:val="en-US" w:eastAsia="zh-CN" w:bidi="ar-SA"/>
              </w:rPr>
              <w:t>（一）</w:t>
            </w:r>
            <w:r>
              <w:rPr>
                <w:rFonts w:hint="eastAsia" w:ascii="仿宋_GB2312" w:eastAsia="仿宋_GB2312" w:cs="宋体"/>
                <w:color w:val="auto"/>
                <w:spacing w:val="-6"/>
                <w:sz w:val="22"/>
                <w:szCs w:val="22"/>
                <w:u w:val="none"/>
                <w:lang w:val="en-US" w:eastAsia="zh-CN" w:bidi="ar-SA"/>
              </w:rPr>
              <w:t>未按规定开展突发环境事件风险评估工作，确定风险等级的；</w:t>
            </w:r>
          </w:p>
          <w:p w14:paraId="7C42F258">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（二）未按规定开展环境安全隐患排查治理工作，建立隐患排查治理档案的；</w:t>
            </w:r>
          </w:p>
          <w:p w14:paraId="6E327EC0">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strike/>
                <w:dstrike w:val="0"/>
                <w:color w:val="auto"/>
                <w:sz w:val="22"/>
                <w:szCs w:val="22"/>
                <w:highlight w:val="yellow"/>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（三）未按规定将突发环境事件应急预案备案的；</w:t>
            </w:r>
            <w:r>
              <w:rPr>
                <w:rFonts w:ascii="Times New Roman" w:hAnsi="Times New Roman" w:eastAsia="楷体" w:cs="Times New Roman"/>
                <w:sz w:val="22"/>
                <w:szCs w:val="22"/>
              </w:rPr>
              <w:t>】</w:t>
            </w:r>
          </w:p>
          <w:p w14:paraId="58932BBB">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pacing w:val="-6"/>
                <w:sz w:val="22"/>
                <w:szCs w:val="22"/>
                <w:u w:val="none"/>
                <w:lang w:val="en-US" w:eastAsia="zh-CN" w:bidi="ar-SA"/>
              </w:rPr>
            </w:pPr>
            <w:r>
              <w:rPr>
                <w:rFonts w:hint="eastAsia" w:ascii="仿宋_GB2312" w:eastAsia="仿宋_GB2312" w:cs="宋体"/>
                <w:color w:val="auto"/>
                <w:sz w:val="22"/>
                <w:szCs w:val="22"/>
                <w:u w:val="none"/>
                <w:lang w:val="en-US" w:eastAsia="zh-CN" w:bidi="ar-SA"/>
              </w:rPr>
              <w:t>（四）</w:t>
            </w:r>
            <w:r>
              <w:rPr>
                <w:rFonts w:hint="eastAsia" w:ascii="仿宋_GB2312" w:eastAsia="仿宋_GB2312" w:cs="宋体"/>
                <w:color w:val="auto"/>
                <w:spacing w:val="-6"/>
                <w:sz w:val="22"/>
                <w:szCs w:val="22"/>
                <w:u w:val="none"/>
                <w:lang w:val="en-US" w:eastAsia="zh-CN" w:bidi="ar-SA"/>
              </w:rPr>
              <w:t>未按规定开展突发环境事件应急培训，如实记录培训情况的；</w:t>
            </w:r>
          </w:p>
          <w:p w14:paraId="3EFC7455">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ascii="Times New Roman" w:hAnsi="Times New Roman" w:eastAsia="楷体" w:cs="Times New Roman"/>
                <w:sz w:val="22"/>
                <w:szCs w:val="22"/>
              </w:rPr>
              <w:t>【</w:t>
            </w:r>
            <w:r>
              <w:rPr>
                <w:rFonts w:hint="eastAsia" w:ascii="仿宋_GB2312" w:eastAsia="仿宋_GB2312" w:cs="宋体"/>
                <w:strike w:val="0"/>
                <w:dstrike w:val="0"/>
                <w:color w:val="auto"/>
                <w:sz w:val="22"/>
                <w:szCs w:val="22"/>
                <w:highlight w:val="lightGray"/>
                <w:u w:val="none"/>
                <w:lang w:val="en-US" w:eastAsia="zh-CN" w:bidi="ar-SA"/>
              </w:rPr>
              <w:t>（五）未按规定储备必要的环境应急装备和物资；</w:t>
            </w:r>
            <w:r>
              <w:rPr>
                <w:rFonts w:ascii="Times New Roman" w:hAnsi="Times New Roman" w:eastAsia="楷体" w:cs="Times New Roman"/>
                <w:sz w:val="22"/>
                <w:szCs w:val="22"/>
              </w:rPr>
              <w:t>】</w:t>
            </w:r>
          </w:p>
          <w:p w14:paraId="37BDA182">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（六）未按规定公开突发环境事件相关信息的。</w:t>
            </w:r>
          </w:p>
          <w:p w14:paraId="791C8030">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eastAsia="仿宋_GB2312" w:cs="宋体"/>
                <w:color w:val="auto"/>
                <w:sz w:val="22"/>
                <w:szCs w:val="22"/>
                <w:u w:val="none"/>
                <w:lang w:val="en-US" w:eastAsia="zh-CN" w:bidi="ar-SA"/>
              </w:rPr>
            </w:pPr>
          </w:p>
        </w:tc>
        <w:tc>
          <w:tcPr>
            <w:tcW w:w="1432" w:type="dxa"/>
            <w:vMerge w:val="restart"/>
            <w:vAlign w:val="center"/>
          </w:tcPr>
          <w:p w14:paraId="3700A5A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宋体" w:hAnsi="宋体" w:eastAsia="宋体" w:cs="宋体"/>
                <w:color w:val="000000"/>
                <w:kern w:val="0"/>
                <w:sz w:val="24"/>
                <w:szCs w:val="24"/>
                <w:u w:val="none"/>
                <w:lang w:val="en-US" w:eastAsia="zh-CN"/>
              </w:rPr>
            </w:pPr>
            <w:r>
              <w:rPr>
                <w:rFonts w:hint="eastAsia" w:ascii="仿宋_GB2312" w:cs="宋体"/>
                <w:color w:val="auto"/>
                <w:kern w:val="2"/>
                <w:sz w:val="22"/>
                <w:szCs w:val="21"/>
                <w:highlight w:val="yellow"/>
                <w:u w:val="none"/>
                <w:lang w:val="en-US" w:eastAsia="zh-CN" w:bidi="ar-SA"/>
              </w:rPr>
              <w:t>后续衔接《突发环境事件应急管理办法》修改</w:t>
            </w:r>
          </w:p>
        </w:tc>
      </w:tr>
      <w:tr w14:paraId="651FB9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83" w:hRule="atLeast"/>
        </w:trPr>
        <w:tc>
          <w:tcPr>
            <w:tcW w:w="708" w:type="dxa"/>
            <w:vMerge w:val="continue"/>
            <w:vAlign w:val="center"/>
          </w:tcPr>
          <w:p w14:paraId="149C34A8"/>
        </w:tc>
        <w:tc>
          <w:tcPr>
            <w:tcW w:w="1696" w:type="dxa"/>
            <w:vMerge w:val="continue"/>
            <w:vAlign w:val="center"/>
          </w:tcPr>
          <w:p w14:paraId="0607C7C8"/>
        </w:tc>
        <w:tc>
          <w:tcPr>
            <w:tcW w:w="4016" w:type="dxa"/>
            <w:vAlign w:val="center"/>
          </w:tcPr>
          <w:p w14:paraId="49AE648C">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u w:val="none"/>
                <w:lang w:val="en-US" w:eastAsia="zh-CN" w:bidi="ar-SA"/>
              </w:rPr>
              <w:t>（2）</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未按规定将突发环境事件应急预案备案</w:t>
            </w:r>
            <w:r>
              <w:rPr>
                <w:rFonts w:ascii="Times New Roman" w:hAnsi="Times New Roman" w:eastAsia="楷体" w:cs="Times New Roman"/>
                <w:sz w:val="22"/>
                <w:szCs w:val="22"/>
              </w:rPr>
              <w:t>】</w:t>
            </w:r>
            <w:r>
              <w:rPr>
                <w:rFonts w:hint="eastAsia" w:ascii="仿宋_GB2312" w:eastAsia="仿宋_GB2312" w:cs="宋体"/>
                <w:color w:val="auto"/>
                <w:sz w:val="22"/>
                <w:szCs w:val="22"/>
                <w:highlight w:val="yellow"/>
                <w:u w:val="none"/>
                <w:lang w:val="en-US" w:eastAsia="zh-CN" w:bidi="ar-SA"/>
              </w:rPr>
              <w:t>应急预案</w:t>
            </w:r>
            <w:r>
              <w:rPr>
                <w:rFonts w:hint="eastAsia" w:ascii="仿宋_GB2312" w:cs="宋体"/>
                <w:color w:val="auto"/>
                <w:sz w:val="22"/>
                <w:szCs w:val="22"/>
                <w:highlight w:val="yellow"/>
                <w:u w:val="none"/>
                <w:lang w:val="en-US" w:eastAsia="zh-CN" w:bidi="ar-SA"/>
              </w:rPr>
              <w:t>未</w:t>
            </w:r>
            <w:r>
              <w:rPr>
                <w:rFonts w:hint="eastAsia" w:ascii="仿宋_GB2312" w:eastAsia="仿宋_GB2312" w:cs="宋体"/>
                <w:color w:val="auto"/>
                <w:sz w:val="22"/>
                <w:szCs w:val="22"/>
                <w:highlight w:val="yellow"/>
                <w:u w:val="none"/>
                <w:lang w:val="en-US" w:eastAsia="zh-CN" w:bidi="ar-SA"/>
              </w:rPr>
              <w:t>备案：</w:t>
            </w:r>
          </w:p>
          <w:p w14:paraId="4AA22393">
            <w:pPr>
              <w:keepNext w:val="0"/>
              <w:keepLines w:val="0"/>
              <w:pageBreakBefore w:val="0"/>
              <w:widowControl w:val="0"/>
              <w:kinsoku/>
              <w:wordWrap/>
              <w:topLinePunct w:val="0"/>
              <w:bidi w:val="0"/>
              <w:snapToGrid/>
              <w:spacing w:beforeAutospacing="0" w:afterAutospacing="0" w:line="320" w:lineRule="exact"/>
              <w:jc w:val="both"/>
              <w:rPr>
                <w:rFonts w:hint="eastAsia" w:ascii="宋体" w:hAnsi="宋体" w:eastAsia="宋体" w:cs="宋体"/>
                <w:color w:val="000000"/>
                <w:kern w:val="0"/>
                <w:sz w:val="24"/>
                <w:szCs w:val="24"/>
                <w:u w:val="none"/>
                <w:lang w:val="en-US" w:eastAsia="zh-CN"/>
              </w:rPr>
            </w:pPr>
            <w:r>
              <w:rPr>
                <w:rFonts w:hint="eastAsia" w:ascii="仿宋_GB2312" w:eastAsia="仿宋_GB2312" w:cs="宋体"/>
                <w:color w:val="auto"/>
                <w:sz w:val="22"/>
                <w:szCs w:val="22"/>
                <w:u w:val="none"/>
                <w:lang w:val="en-US" w:eastAsia="zh-CN" w:bidi="ar-SA"/>
              </w:rPr>
              <w:t>已</w:t>
            </w:r>
            <w:r>
              <w:rPr>
                <w:rFonts w:hint="eastAsia" w:ascii="仿宋_GB2312" w:eastAsia="仿宋_GB2312" w:cs="宋体"/>
                <w:color w:val="auto"/>
                <w:sz w:val="22"/>
                <w:szCs w:val="22"/>
                <w:highlight w:val="none"/>
                <w:u w:val="none"/>
                <w:lang w:val="en-US" w:eastAsia="zh-CN" w:bidi="ar-SA"/>
              </w:rPr>
              <w:t>按规范编制</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突发环境事件</w:t>
            </w:r>
            <w:r>
              <w:rPr>
                <w:rFonts w:ascii="Times New Roman" w:hAnsi="Times New Roman" w:eastAsia="楷体" w:cs="Times New Roman"/>
                <w:sz w:val="22"/>
                <w:szCs w:val="22"/>
              </w:rPr>
              <w:t>】</w:t>
            </w:r>
            <w:r>
              <w:rPr>
                <w:rFonts w:ascii="仿宋_GB2312" w:eastAsia="仿宋_GB2312" w:cs="宋体"/>
                <w:color w:val="auto"/>
                <w:sz w:val="22"/>
                <w:szCs w:val="22"/>
                <w:highlight w:val="yellow"/>
                <w:u w:val="none"/>
                <w:lang w:val="en-US" w:eastAsia="zh-CN" w:bidi="ar-SA"/>
              </w:rPr>
              <w:t>环境污染、生态破坏事故或者突发生态环境事件的应急预案</w:t>
            </w:r>
            <w:r>
              <w:rPr>
                <w:rFonts w:hint="eastAsia" w:ascii="仿宋_GB2312" w:eastAsia="仿宋_GB2312" w:cs="宋体"/>
                <w:color w:val="auto"/>
                <w:sz w:val="22"/>
                <w:szCs w:val="22"/>
                <w:u w:val="none"/>
                <w:lang w:val="en-US" w:eastAsia="zh-CN" w:bidi="ar-SA"/>
              </w:rPr>
              <w:t>且风险评估为一般等级，三年内未发生</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突发环境事件</w:t>
            </w:r>
            <w:r>
              <w:rPr>
                <w:rFonts w:ascii="Times New Roman" w:hAnsi="Times New Roman" w:eastAsia="楷体" w:cs="Times New Roman"/>
                <w:sz w:val="22"/>
                <w:szCs w:val="22"/>
              </w:rPr>
              <w:t>】</w:t>
            </w:r>
            <w:r>
              <w:rPr>
                <w:rFonts w:ascii="仿宋_GB2312" w:eastAsia="仿宋_GB2312" w:cs="宋体"/>
                <w:color w:val="auto"/>
                <w:sz w:val="22"/>
                <w:szCs w:val="22"/>
                <w:highlight w:val="yellow"/>
                <w:u w:val="none"/>
                <w:lang w:val="en-US" w:eastAsia="zh-CN" w:bidi="ar-SA"/>
              </w:rPr>
              <w:t>环境污染、生态破坏事故</w:t>
            </w:r>
            <w:r>
              <w:rPr>
                <w:rFonts w:hint="eastAsia" w:ascii="仿宋_GB2312" w:cs="宋体"/>
                <w:color w:val="auto"/>
                <w:sz w:val="22"/>
                <w:szCs w:val="22"/>
                <w:highlight w:val="yellow"/>
                <w:u w:val="none"/>
                <w:lang w:val="en-US" w:eastAsia="zh-CN" w:bidi="ar-SA"/>
              </w:rPr>
              <w:t>或者</w:t>
            </w:r>
            <w:r>
              <w:rPr>
                <w:rFonts w:hint="eastAsia" w:ascii="仿宋_GB2312" w:eastAsia="仿宋_GB2312" w:cs="宋体"/>
                <w:color w:val="auto"/>
                <w:sz w:val="22"/>
                <w:szCs w:val="22"/>
                <w:highlight w:val="yellow"/>
                <w:u w:val="none"/>
                <w:lang w:val="en-US" w:eastAsia="zh-CN" w:bidi="ar-SA"/>
              </w:rPr>
              <w:t>突发</w:t>
            </w:r>
            <w:r>
              <w:rPr>
                <w:rFonts w:hint="eastAsia" w:ascii="仿宋_GB2312" w:cs="宋体"/>
                <w:color w:val="auto"/>
                <w:sz w:val="22"/>
                <w:szCs w:val="22"/>
                <w:highlight w:val="yellow"/>
                <w:u w:val="none"/>
                <w:lang w:val="en-US" w:eastAsia="zh-CN" w:bidi="ar-SA"/>
              </w:rPr>
              <w:t>生态</w:t>
            </w:r>
            <w:r>
              <w:rPr>
                <w:rFonts w:hint="eastAsia" w:ascii="仿宋_GB2312" w:eastAsia="仿宋_GB2312" w:cs="宋体"/>
                <w:color w:val="auto"/>
                <w:sz w:val="22"/>
                <w:szCs w:val="22"/>
                <w:highlight w:val="yellow"/>
                <w:u w:val="none"/>
                <w:lang w:val="en-US" w:eastAsia="zh-CN" w:bidi="ar-SA"/>
              </w:rPr>
              <w:t>环境事件</w:t>
            </w:r>
            <w:r>
              <w:rPr>
                <w:rFonts w:hint="eastAsia" w:ascii="仿宋_GB2312" w:eastAsia="仿宋_GB2312" w:cs="宋体"/>
                <w:color w:val="auto"/>
                <w:sz w:val="22"/>
                <w:szCs w:val="22"/>
                <w:u w:val="none"/>
                <w:lang w:val="en-US" w:eastAsia="zh-CN" w:bidi="ar-SA"/>
              </w:rPr>
              <w:t>，并在一个月内</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开展</w:t>
            </w:r>
            <w:r>
              <w:rPr>
                <w:rFonts w:ascii="Times New Roman" w:hAnsi="Times New Roman" w:eastAsia="楷体" w:cs="Times New Roman"/>
                <w:sz w:val="22"/>
                <w:szCs w:val="22"/>
              </w:rPr>
              <w:t>】</w:t>
            </w:r>
            <w:r>
              <w:rPr>
                <w:rFonts w:hint="eastAsia" w:ascii="仿宋_GB2312" w:eastAsia="仿宋_GB2312" w:cs="宋体"/>
                <w:color w:val="auto"/>
                <w:sz w:val="22"/>
                <w:szCs w:val="22"/>
                <w:highlight w:val="yellow"/>
                <w:u w:val="none"/>
                <w:lang w:val="en-US" w:eastAsia="zh-CN" w:bidi="ar-SA"/>
              </w:rPr>
              <w:t>完成</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突发环境事件</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应急预案</w:t>
            </w:r>
            <w:r>
              <w:rPr>
                <w:rFonts w:hint="eastAsia" w:ascii="仿宋_GB2312" w:eastAsia="仿宋_GB2312" w:cs="宋体"/>
                <w:color w:val="auto"/>
                <w:sz w:val="22"/>
                <w:szCs w:val="22"/>
                <w:u w:val="none"/>
                <w:lang w:val="en-US" w:eastAsia="zh-CN" w:bidi="ar-SA"/>
              </w:rPr>
              <w:t>备案。</w:t>
            </w:r>
          </w:p>
        </w:tc>
        <w:tc>
          <w:tcPr>
            <w:tcW w:w="6855" w:type="dxa"/>
            <w:vMerge w:val="continue"/>
            <w:vAlign w:val="center"/>
          </w:tcPr>
          <w:p w14:paraId="16FDD562"/>
        </w:tc>
        <w:tc>
          <w:tcPr>
            <w:tcW w:w="1432" w:type="dxa"/>
            <w:vMerge w:val="continue"/>
            <w:vAlign w:val="center"/>
          </w:tcPr>
          <w:p w14:paraId="04B3AB85"/>
        </w:tc>
      </w:tr>
      <w:tr w14:paraId="36D8BF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81" w:hRule="atLeast"/>
        </w:trPr>
        <w:tc>
          <w:tcPr>
            <w:tcW w:w="708" w:type="dxa"/>
            <w:vMerge w:val="continue"/>
            <w:vAlign w:val="center"/>
          </w:tcPr>
          <w:p w14:paraId="5EA956E5"/>
        </w:tc>
        <w:tc>
          <w:tcPr>
            <w:tcW w:w="1696" w:type="dxa"/>
            <w:vMerge w:val="continue"/>
            <w:vAlign w:val="center"/>
          </w:tcPr>
          <w:p w14:paraId="5CE85E78"/>
        </w:tc>
        <w:tc>
          <w:tcPr>
            <w:tcW w:w="4016" w:type="dxa"/>
            <w:vAlign w:val="center"/>
          </w:tcPr>
          <w:p w14:paraId="1BC128A1">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（3）未按规定开展突发环境事件应急培训，如实记录培训情况：</w:t>
            </w:r>
          </w:p>
          <w:p w14:paraId="0C533B4D">
            <w:pPr>
              <w:keepNext w:val="0"/>
              <w:keepLines w:val="0"/>
              <w:pageBreakBefore w:val="0"/>
              <w:widowControl w:val="0"/>
              <w:kinsoku/>
              <w:wordWrap/>
              <w:topLinePunct w:val="0"/>
              <w:bidi w:val="0"/>
              <w:snapToGrid/>
              <w:spacing w:beforeAutospacing="0" w:afterAutospacing="0" w:line="320" w:lineRule="exact"/>
              <w:jc w:val="both"/>
              <w:rPr>
                <w:rFonts w:hint="eastAsia" w:ascii="宋体" w:hAnsi="宋体" w:eastAsia="宋体" w:cs="宋体"/>
                <w:color w:val="000000"/>
                <w:kern w:val="0"/>
                <w:sz w:val="24"/>
                <w:szCs w:val="24"/>
                <w:u w:val="none"/>
                <w:lang w:val="en-US" w:eastAsia="zh-CN"/>
              </w:rPr>
            </w:pPr>
            <w:r>
              <w:rPr>
                <w:rFonts w:hint="eastAsia" w:ascii="仿宋_GB2312" w:eastAsia="仿宋_GB2312" w:cs="宋体"/>
                <w:color w:val="auto"/>
                <w:sz w:val="22"/>
                <w:szCs w:val="22"/>
                <w:u w:val="none"/>
                <w:lang w:val="en-US" w:eastAsia="zh-CN" w:bidi="ar-SA"/>
              </w:rPr>
              <w:t>已按规范编制突发环境事件应急预案且风险评估为一般等级，三年内未发生突发环境事件，并在1个月内开展突发环境事件应急培训，如实记录培训情况的。</w:t>
            </w:r>
          </w:p>
        </w:tc>
        <w:tc>
          <w:tcPr>
            <w:tcW w:w="6855" w:type="dxa"/>
            <w:vMerge w:val="continue"/>
            <w:vAlign w:val="center"/>
          </w:tcPr>
          <w:p w14:paraId="037FEB47"/>
        </w:tc>
        <w:tc>
          <w:tcPr>
            <w:tcW w:w="1432" w:type="dxa"/>
            <w:vMerge w:val="continue"/>
            <w:vAlign w:val="center"/>
          </w:tcPr>
          <w:p w14:paraId="753CD43B"/>
        </w:tc>
      </w:tr>
      <w:tr w14:paraId="38B7BE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41" w:hRule="atLeast"/>
        </w:trPr>
        <w:tc>
          <w:tcPr>
            <w:tcW w:w="708" w:type="dxa"/>
            <w:vMerge w:val="continue"/>
            <w:vAlign w:val="center"/>
          </w:tcPr>
          <w:p w14:paraId="66E21D09"/>
        </w:tc>
        <w:tc>
          <w:tcPr>
            <w:tcW w:w="1696" w:type="dxa"/>
            <w:vMerge w:val="continue"/>
            <w:vAlign w:val="center"/>
          </w:tcPr>
          <w:p w14:paraId="35ACF2C5"/>
        </w:tc>
        <w:tc>
          <w:tcPr>
            <w:tcW w:w="4016" w:type="dxa"/>
            <w:vAlign w:val="center"/>
          </w:tcPr>
          <w:p w14:paraId="1C470B9C">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（4）</w:t>
            </w:r>
            <w:r>
              <w:rPr>
                <w:rFonts w:hint="eastAsia" w:ascii="仿宋_GB2312" w:cs="宋体"/>
                <w:color w:val="auto"/>
                <w:sz w:val="22"/>
                <w:szCs w:val="22"/>
                <w:u w:val="none"/>
                <w:lang w:val="en-US" w:eastAsia="zh-CN" w:bidi="ar-SA"/>
              </w:rPr>
              <w:t>未</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按规定储备必要的环境应急装备和物质</w:t>
            </w:r>
            <w:r>
              <w:rPr>
                <w:rFonts w:ascii="Times New Roman" w:hAnsi="Times New Roman" w:eastAsia="楷体" w:cs="Times New Roman"/>
                <w:sz w:val="22"/>
                <w:szCs w:val="22"/>
              </w:rPr>
              <w:t>】</w:t>
            </w:r>
            <w:r>
              <w:rPr>
                <w:rFonts w:ascii="仿宋_GB2312" w:eastAsia="仿宋_GB2312" w:cs="宋体"/>
                <w:color w:val="auto"/>
                <w:sz w:val="22"/>
                <w:szCs w:val="22"/>
                <w:highlight w:val="yellow"/>
                <w:u w:val="none"/>
                <w:lang w:val="en-US" w:eastAsia="zh-CN" w:bidi="ar-SA"/>
              </w:rPr>
              <w:t>配备应急设备、器材</w:t>
            </w:r>
            <w:r>
              <w:rPr>
                <w:rFonts w:hint="eastAsia" w:ascii="仿宋_GB2312" w:eastAsia="仿宋_GB2312" w:cs="宋体"/>
                <w:color w:val="auto"/>
                <w:sz w:val="22"/>
                <w:szCs w:val="22"/>
                <w:u w:val="none"/>
                <w:lang w:val="en-US" w:eastAsia="zh-CN" w:bidi="ar-SA"/>
              </w:rPr>
              <w:t>：</w:t>
            </w:r>
          </w:p>
          <w:p w14:paraId="6DC08C48">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pacing w:val="-6"/>
                <w:sz w:val="22"/>
                <w:szCs w:val="22"/>
                <w:u w:val="none"/>
                <w:lang w:val="en-US" w:eastAsia="zh-CN" w:bidi="ar-SA"/>
              </w:rPr>
              <w:t>三年内未发生</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突发环境事件</w:t>
            </w:r>
            <w:r>
              <w:rPr>
                <w:rFonts w:ascii="Times New Roman" w:hAnsi="Times New Roman" w:eastAsia="楷体" w:cs="Times New Roman"/>
                <w:sz w:val="22"/>
                <w:szCs w:val="22"/>
              </w:rPr>
              <w:t>】</w:t>
            </w:r>
            <w:r>
              <w:rPr>
                <w:rFonts w:ascii="仿宋_GB2312" w:eastAsia="仿宋_GB2312" w:cs="宋体"/>
                <w:color w:val="auto"/>
                <w:sz w:val="22"/>
                <w:szCs w:val="22"/>
                <w:highlight w:val="yellow"/>
                <w:u w:val="none"/>
                <w:lang w:val="en-US" w:eastAsia="zh-CN" w:bidi="ar-SA"/>
              </w:rPr>
              <w:t>环境污染、生态破坏事故</w:t>
            </w:r>
            <w:r>
              <w:rPr>
                <w:rFonts w:hint="eastAsia" w:ascii="仿宋_GB2312" w:cs="宋体"/>
                <w:color w:val="auto"/>
                <w:sz w:val="22"/>
                <w:szCs w:val="22"/>
                <w:highlight w:val="yellow"/>
                <w:u w:val="none"/>
                <w:lang w:val="en-US" w:eastAsia="zh-CN" w:bidi="ar-SA"/>
              </w:rPr>
              <w:t>或者</w:t>
            </w:r>
            <w:r>
              <w:rPr>
                <w:rFonts w:hint="eastAsia" w:ascii="仿宋_GB2312" w:eastAsia="仿宋_GB2312" w:cs="宋体"/>
                <w:color w:val="auto"/>
                <w:sz w:val="22"/>
                <w:szCs w:val="22"/>
                <w:highlight w:val="yellow"/>
                <w:u w:val="none"/>
                <w:lang w:val="en-US" w:eastAsia="zh-CN" w:bidi="ar-SA"/>
              </w:rPr>
              <w:t>突发</w:t>
            </w:r>
            <w:r>
              <w:rPr>
                <w:rFonts w:hint="eastAsia" w:ascii="仿宋_GB2312" w:cs="宋体"/>
                <w:color w:val="auto"/>
                <w:sz w:val="22"/>
                <w:szCs w:val="22"/>
                <w:highlight w:val="yellow"/>
                <w:u w:val="none"/>
                <w:lang w:val="en-US" w:eastAsia="zh-CN" w:bidi="ar-SA"/>
              </w:rPr>
              <w:t>生态</w:t>
            </w:r>
            <w:r>
              <w:rPr>
                <w:rFonts w:hint="eastAsia" w:ascii="仿宋_GB2312" w:eastAsia="仿宋_GB2312" w:cs="宋体"/>
                <w:color w:val="auto"/>
                <w:sz w:val="22"/>
                <w:szCs w:val="22"/>
                <w:highlight w:val="yellow"/>
                <w:u w:val="none"/>
                <w:lang w:val="en-US" w:eastAsia="zh-CN" w:bidi="ar-SA"/>
              </w:rPr>
              <w:t>环境事件</w:t>
            </w:r>
            <w:r>
              <w:rPr>
                <w:rFonts w:hint="eastAsia" w:ascii="仿宋_GB2312" w:eastAsia="仿宋_GB2312" w:cs="宋体"/>
                <w:color w:val="auto"/>
                <w:sz w:val="22"/>
                <w:szCs w:val="22"/>
                <w:u w:val="none"/>
                <w:lang w:val="en-US" w:eastAsia="zh-CN" w:bidi="ar-SA"/>
              </w:rPr>
              <w:t>，</w:t>
            </w:r>
          </w:p>
          <w:p w14:paraId="238367EB">
            <w:pPr>
              <w:keepNext w:val="0"/>
              <w:keepLines w:val="0"/>
              <w:pageBreakBefore w:val="0"/>
              <w:widowControl w:val="0"/>
              <w:kinsoku/>
              <w:wordWrap/>
              <w:topLinePunct w:val="0"/>
              <w:bidi w:val="0"/>
              <w:snapToGrid/>
              <w:spacing w:beforeAutospacing="0" w:afterAutospacing="0" w:line="320" w:lineRule="exact"/>
              <w:jc w:val="both"/>
              <w:rPr>
                <w:rFonts w:hint="eastAsia" w:ascii="宋体" w:hAnsi="宋体" w:eastAsia="宋体" w:cs="宋体"/>
                <w:color w:val="000000"/>
                <w:kern w:val="0"/>
                <w:sz w:val="24"/>
                <w:szCs w:val="24"/>
                <w:u w:val="none"/>
                <w:lang w:val="en-US" w:eastAsia="zh-CN"/>
              </w:rPr>
            </w:pPr>
            <w:r>
              <w:rPr>
                <w:rFonts w:hint="eastAsia" w:ascii="仿宋_GB2312" w:eastAsia="仿宋_GB2312" w:cs="宋体"/>
                <w:color w:val="auto"/>
                <w:spacing w:val="-6"/>
                <w:sz w:val="22"/>
                <w:szCs w:val="22"/>
                <w:u w:val="none"/>
                <w:lang w:val="en-US" w:eastAsia="zh-CN" w:bidi="ar-SA"/>
              </w:rPr>
              <w:t>并在1个月内</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储备必要的环境应急装备和物质</w:t>
            </w:r>
            <w:r>
              <w:rPr>
                <w:rFonts w:ascii="Times New Roman" w:hAnsi="Times New Roman" w:eastAsia="楷体" w:cs="Times New Roman"/>
                <w:sz w:val="22"/>
                <w:szCs w:val="22"/>
              </w:rPr>
              <w:t>】</w:t>
            </w:r>
            <w:r>
              <w:rPr>
                <w:rFonts w:hint="eastAsia" w:ascii="仿宋_GB2312" w:cs="宋体"/>
                <w:color w:val="auto"/>
                <w:spacing w:val="-6"/>
                <w:sz w:val="22"/>
                <w:szCs w:val="22"/>
                <w:highlight w:val="yellow"/>
                <w:u w:val="none"/>
                <w:lang w:val="en-US" w:eastAsia="zh-CN" w:bidi="ar-SA"/>
              </w:rPr>
              <w:t>配</w:t>
            </w:r>
            <w:r>
              <w:rPr>
                <w:rFonts w:hint="eastAsia" w:ascii="仿宋_GB2312" w:eastAsia="仿宋_GB2312" w:cs="宋体"/>
                <w:color w:val="auto"/>
                <w:spacing w:val="-6"/>
                <w:sz w:val="22"/>
                <w:szCs w:val="22"/>
                <w:highlight w:val="yellow"/>
                <w:u w:val="none"/>
                <w:lang w:val="en-US" w:eastAsia="zh-CN" w:bidi="ar-SA"/>
              </w:rPr>
              <w:t>备应急</w:t>
            </w:r>
            <w:r>
              <w:rPr>
                <w:rFonts w:ascii="仿宋_GB2312" w:eastAsia="仿宋_GB2312" w:cs="宋体"/>
                <w:color w:val="auto"/>
                <w:sz w:val="22"/>
                <w:szCs w:val="22"/>
                <w:highlight w:val="yellow"/>
                <w:u w:val="none"/>
                <w:lang w:val="en-US" w:eastAsia="zh-CN" w:bidi="ar-SA"/>
              </w:rPr>
              <w:t>设备、器材</w:t>
            </w:r>
            <w:r>
              <w:rPr>
                <w:rFonts w:hint="eastAsia" w:ascii="仿宋_GB2312" w:eastAsia="仿宋_GB2312" w:cs="宋体"/>
                <w:color w:val="auto"/>
                <w:spacing w:val="-6"/>
                <w:sz w:val="22"/>
                <w:szCs w:val="22"/>
                <w:highlight w:val="yellow"/>
                <w:u w:val="none"/>
                <w:lang w:val="en-US" w:eastAsia="zh-CN" w:bidi="ar-SA"/>
              </w:rPr>
              <w:t>的</w:t>
            </w:r>
            <w:r>
              <w:rPr>
                <w:rFonts w:hint="eastAsia" w:ascii="仿宋_GB2312" w:eastAsia="仿宋_GB2312" w:cs="宋体"/>
                <w:color w:val="auto"/>
                <w:spacing w:val="-6"/>
                <w:sz w:val="22"/>
                <w:szCs w:val="22"/>
                <w:u w:val="none"/>
                <w:lang w:val="en-US" w:eastAsia="zh-CN" w:bidi="ar-SA"/>
              </w:rPr>
              <w:t>。</w:t>
            </w:r>
          </w:p>
        </w:tc>
        <w:tc>
          <w:tcPr>
            <w:tcW w:w="6855" w:type="dxa"/>
            <w:vMerge w:val="continue"/>
            <w:vAlign w:val="center"/>
          </w:tcPr>
          <w:p w14:paraId="5184D35F"/>
        </w:tc>
        <w:tc>
          <w:tcPr>
            <w:tcW w:w="1432" w:type="dxa"/>
            <w:vMerge w:val="continue"/>
            <w:vAlign w:val="center"/>
          </w:tcPr>
          <w:p w14:paraId="78657439"/>
        </w:tc>
      </w:tr>
      <w:tr w14:paraId="094038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17" w:hRule="atLeast"/>
        </w:trPr>
        <w:tc>
          <w:tcPr>
            <w:tcW w:w="708" w:type="dxa"/>
            <w:vMerge w:val="continue"/>
            <w:vAlign w:val="center"/>
          </w:tcPr>
          <w:p w14:paraId="38B09329"/>
        </w:tc>
        <w:tc>
          <w:tcPr>
            <w:tcW w:w="1696" w:type="dxa"/>
            <w:vMerge w:val="continue"/>
            <w:vAlign w:val="center"/>
          </w:tcPr>
          <w:p w14:paraId="6E90C94C"/>
        </w:tc>
        <w:tc>
          <w:tcPr>
            <w:tcW w:w="4016" w:type="dxa"/>
            <w:vAlign w:val="center"/>
          </w:tcPr>
          <w:p w14:paraId="25BA97DA">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（5）未按规定公开突发环境事件相关信息（不含公开内容弄虚作假的）：</w:t>
            </w:r>
          </w:p>
          <w:p w14:paraId="7D10611F">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已按规范编制突发环境事件应急预案且风险评估为一般等级，三年内未发生突发环境事件，并在5个工作日内公开突发环境事件相关信息的。</w:t>
            </w:r>
          </w:p>
        </w:tc>
        <w:tc>
          <w:tcPr>
            <w:tcW w:w="6855" w:type="dxa"/>
            <w:vMerge w:val="continue"/>
            <w:vAlign w:val="center"/>
          </w:tcPr>
          <w:p w14:paraId="6A3BA538"/>
        </w:tc>
        <w:tc>
          <w:tcPr>
            <w:tcW w:w="1432" w:type="dxa"/>
            <w:vMerge w:val="continue"/>
            <w:vAlign w:val="center"/>
          </w:tcPr>
          <w:p w14:paraId="38D36C91"/>
        </w:tc>
      </w:tr>
    </w:tbl>
    <w:p w14:paraId="3FF7756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br w:type="page"/>
      </w:r>
    </w:p>
    <w:tbl>
      <w:tblPr>
        <w:tblStyle w:val="14"/>
        <w:tblpPr w:leftFromText="180" w:rightFromText="180" w:vertAnchor="text" w:horzAnchor="page" w:tblpXSpec="center" w:tblpY="1"/>
        <w:tblOverlap w:val="never"/>
        <w:tblW w:w="1457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30"/>
        <w:gridCol w:w="1739"/>
        <w:gridCol w:w="3938"/>
        <w:gridCol w:w="6300"/>
        <w:gridCol w:w="1868"/>
      </w:tblGrid>
      <w:tr w14:paraId="372484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trPr>
        <w:tc>
          <w:tcPr>
            <w:tcW w:w="14575" w:type="dxa"/>
            <w:gridSpan w:val="5"/>
            <w:vAlign w:val="center"/>
          </w:tcPr>
          <w:p w14:paraId="6A52B70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黑体" w:hAnsi="Times New Roman" w:eastAsia="黑体"/>
                <w:color w:val="auto"/>
                <w:kern w:val="0"/>
                <w:sz w:val="24"/>
                <w:szCs w:val="24"/>
                <w:highlight w:val="none"/>
                <w:u w:val="none"/>
                <w:lang w:val="en-US" w:eastAsia="zh-CN"/>
              </w:rPr>
            </w:pPr>
            <w:r>
              <w:rPr>
                <w:rFonts w:hint="eastAsia" w:ascii="黑体" w:eastAsia="黑体" w:cs="黑体"/>
                <w:color w:val="auto"/>
                <w:sz w:val="24"/>
                <w:szCs w:val="24"/>
                <w:highlight w:val="none"/>
                <w:u w:val="none"/>
                <w:lang w:val="en-US" w:eastAsia="zh-CN" w:bidi="ar-SA"/>
              </w:rPr>
              <w:t>二</w:t>
            </w:r>
            <w:r>
              <w:rPr>
                <w:rFonts w:hint="eastAsia" w:ascii="黑体" w:eastAsia="黑体" w:cs="黑体"/>
                <w:color w:val="auto"/>
                <w:sz w:val="24"/>
                <w:szCs w:val="24"/>
                <w:highlight w:val="none"/>
                <w:u w:val="none"/>
                <w:lang w:bidi="ar-SA"/>
              </w:rPr>
              <w:t>、下列违法行为初次违法且危害后果轻微并及时改正的，不予行政处罚</w:t>
            </w:r>
          </w:p>
        </w:tc>
      </w:tr>
      <w:tr w14:paraId="0336C7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4" w:hRule="atLeast"/>
        </w:trPr>
        <w:tc>
          <w:tcPr>
            <w:tcW w:w="730" w:type="dxa"/>
            <w:vAlign w:val="center"/>
          </w:tcPr>
          <w:p w14:paraId="2A8725E5">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 w:eastAsia="仿宋_GB2312" w:cs="仿宋"/>
                <w:color w:val="000000"/>
                <w:sz w:val="24"/>
                <w:szCs w:val="24"/>
                <w:highlight w:val="none"/>
                <w:u w:val="none"/>
                <w:lang w:val="en-US" w:eastAsia="zh-CN" w:bidi="ar-SA"/>
              </w:rPr>
            </w:pPr>
            <w:r>
              <w:rPr>
                <w:rFonts w:hint="eastAsia" w:ascii="黑体" w:hAnsi="Times New Roman" w:eastAsia="黑体"/>
                <w:color w:val="auto"/>
                <w:kern w:val="0"/>
                <w:sz w:val="24"/>
                <w:szCs w:val="24"/>
                <w:highlight w:val="none"/>
                <w:u w:val="none"/>
              </w:rPr>
              <w:t>序号</w:t>
            </w:r>
          </w:p>
        </w:tc>
        <w:tc>
          <w:tcPr>
            <w:tcW w:w="1739" w:type="dxa"/>
            <w:vAlign w:val="center"/>
          </w:tcPr>
          <w:p w14:paraId="4483FDA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宋体" w:hAnsi="宋体" w:eastAsia="宋体" w:cs="宋体"/>
                <w:color w:val="000000"/>
                <w:kern w:val="0"/>
                <w:sz w:val="24"/>
                <w:szCs w:val="24"/>
                <w:highlight w:val="none"/>
                <w:u w:val="none"/>
                <w:lang w:val="en-US" w:eastAsia="zh-CN"/>
              </w:rPr>
            </w:pPr>
            <w:r>
              <w:rPr>
                <w:rFonts w:hint="eastAsia" w:ascii="黑体" w:hAnsi="Times New Roman" w:eastAsia="黑体"/>
                <w:color w:val="auto"/>
                <w:kern w:val="0"/>
                <w:sz w:val="24"/>
                <w:szCs w:val="24"/>
                <w:highlight w:val="none"/>
                <w:u w:val="none"/>
                <w:lang w:eastAsia="zh-CN"/>
              </w:rPr>
              <w:t>行政处罚事项</w:t>
            </w:r>
          </w:p>
        </w:tc>
        <w:tc>
          <w:tcPr>
            <w:tcW w:w="3938" w:type="dxa"/>
            <w:vAlign w:val="center"/>
          </w:tcPr>
          <w:p w14:paraId="1BD9A21C">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宋体" w:hAnsi="宋体" w:eastAsia="宋体" w:cs="宋体"/>
                <w:color w:val="000000"/>
                <w:kern w:val="0"/>
                <w:sz w:val="24"/>
                <w:szCs w:val="24"/>
                <w:highlight w:val="none"/>
                <w:u w:val="none"/>
                <w:lang w:val="en-US" w:eastAsia="zh-CN"/>
              </w:rPr>
            </w:pPr>
            <w:r>
              <w:rPr>
                <w:rFonts w:hint="eastAsia" w:ascii="黑体" w:hAnsi="Times New Roman" w:eastAsia="黑体"/>
                <w:color w:val="auto"/>
                <w:kern w:val="0"/>
                <w:sz w:val="24"/>
                <w:szCs w:val="24"/>
                <w:highlight w:val="none"/>
                <w:u w:val="none"/>
                <w:lang w:eastAsia="zh-CN"/>
              </w:rPr>
              <w:t>不予处罚适用条件</w:t>
            </w:r>
          </w:p>
        </w:tc>
        <w:tc>
          <w:tcPr>
            <w:tcW w:w="6300" w:type="dxa"/>
            <w:vAlign w:val="center"/>
          </w:tcPr>
          <w:p w14:paraId="05A97F4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宋体" w:hAnsi="宋体" w:eastAsia="宋体" w:cs="宋体"/>
                <w:color w:val="000000"/>
                <w:kern w:val="0"/>
                <w:sz w:val="24"/>
                <w:szCs w:val="24"/>
                <w:highlight w:val="none"/>
                <w:u w:val="none"/>
                <w:lang w:val="en-US" w:eastAsia="zh-CN"/>
              </w:rPr>
            </w:pPr>
            <w:r>
              <w:rPr>
                <w:rFonts w:hint="eastAsia" w:ascii="黑体" w:hAnsi="Times New Roman" w:eastAsia="黑体"/>
                <w:color w:val="auto"/>
                <w:kern w:val="0"/>
                <w:sz w:val="24"/>
                <w:szCs w:val="24"/>
                <w:highlight w:val="none"/>
                <w:u w:val="none"/>
              </w:rPr>
              <w:t>法定依据</w:t>
            </w:r>
          </w:p>
        </w:tc>
        <w:tc>
          <w:tcPr>
            <w:tcW w:w="1868" w:type="dxa"/>
            <w:vAlign w:val="center"/>
          </w:tcPr>
          <w:p w14:paraId="1543C29E">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宋体" w:hAnsi="宋体" w:eastAsia="宋体" w:cs="宋体"/>
                <w:color w:val="000000"/>
                <w:kern w:val="0"/>
                <w:sz w:val="24"/>
                <w:szCs w:val="24"/>
                <w:highlight w:val="none"/>
                <w:u w:val="none"/>
                <w:lang w:val="en-US" w:eastAsia="zh-CN"/>
              </w:rPr>
            </w:pPr>
            <w:r>
              <w:rPr>
                <w:rFonts w:hint="eastAsia" w:ascii="黑体" w:hAnsi="Times New Roman" w:eastAsia="黑体"/>
                <w:color w:val="auto"/>
                <w:kern w:val="0"/>
                <w:sz w:val="24"/>
                <w:szCs w:val="24"/>
                <w:highlight w:val="none"/>
                <w:u w:val="none"/>
                <w:lang w:val="en-US" w:eastAsia="zh-CN"/>
              </w:rPr>
              <w:t>备注</w:t>
            </w:r>
          </w:p>
        </w:tc>
      </w:tr>
      <w:tr w14:paraId="5066AD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93" w:hRule="atLeast"/>
        </w:trPr>
        <w:tc>
          <w:tcPr>
            <w:tcW w:w="730" w:type="dxa"/>
            <w:vAlign w:val="center"/>
          </w:tcPr>
          <w:p w14:paraId="1357E74A">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hint="eastAsia"/>
                <w:highlight w:val="none"/>
                <w:u w:val="none"/>
                <w:lang w:val="en-US" w:eastAsia="zh-CN"/>
              </w:rPr>
            </w:pPr>
            <w:r>
              <w:rPr>
                <w:rFonts w:hint="eastAsia" w:ascii="仿宋_GB2312" w:eastAsia="仿宋_GB2312" w:cs="宋体"/>
                <w:color w:val="auto"/>
                <w:sz w:val="22"/>
                <w:szCs w:val="22"/>
                <w:highlight w:val="none"/>
                <w:u w:val="none"/>
                <w:lang w:val="en-US" w:eastAsia="zh-CN" w:bidi="ar-SA"/>
              </w:rPr>
              <w:t>1</w:t>
            </w:r>
          </w:p>
        </w:tc>
        <w:tc>
          <w:tcPr>
            <w:tcW w:w="1739" w:type="dxa"/>
            <w:vAlign w:val="center"/>
          </w:tcPr>
          <w:p w14:paraId="7A760EB8">
            <w:pPr>
              <w:keepNext w:val="0"/>
              <w:keepLines w:val="0"/>
              <w:pageBreakBefore w:val="0"/>
              <w:widowControl w:val="0"/>
              <w:kinsoku/>
              <w:wordWrap/>
              <w:topLinePunct w:val="0"/>
              <w:bidi w:val="0"/>
              <w:snapToGrid/>
              <w:spacing w:beforeAutospacing="0" w:afterAutospacing="0" w:line="320" w:lineRule="exact"/>
              <w:jc w:val="both"/>
              <w:rPr>
                <w:rFonts w:hint="eastAsia" w:ascii="仿宋_GB2312" w:hAnsi="仿宋_GB2312" w:eastAsia="仿宋_GB2312" w:cs="仿宋_GB2312"/>
                <w:color w:val="000000"/>
                <w:sz w:val="24"/>
                <w:szCs w:val="24"/>
                <w:highlight w:val="none"/>
                <w:u w:val="none"/>
                <w:lang w:bidi="ar-SA"/>
              </w:rPr>
            </w:pPr>
            <w:r>
              <w:rPr>
                <w:rFonts w:hint="eastAsia" w:ascii="仿宋_GB2312" w:eastAsia="仿宋_GB2312" w:cs="宋体"/>
                <w:color w:val="auto"/>
                <w:sz w:val="22"/>
                <w:szCs w:val="22"/>
                <w:highlight w:val="none"/>
                <w:u w:val="none"/>
                <w:lang w:bidi="ar-SA"/>
              </w:rPr>
              <w:t>对</w:t>
            </w:r>
            <w:r>
              <w:rPr>
                <w:rFonts w:hint="eastAsia" w:ascii="仿宋_GB2312" w:eastAsia="仿宋_GB2312" w:cs="宋体"/>
                <w:color w:val="auto"/>
                <w:sz w:val="22"/>
                <w:szCs w:val="22"/>
                <w:highlight w:val="none"/>
                <w:u w:val="none"/>
                <w:lang w:val="en-US" w:eastAsia="zh-CN" w:bidi="ar-SA"/>
              </w:rPr>
              <w:t>建设单位</w:t>
            </w:r>
            <w:r>
              <w:rPr>
                <w:rFonts w:hint="eastAsia" w:ascii="仿宋_GB2312" w:eastAsia="仿宋_GB2312" w:cs="宋体"/>
                <w:color w:val="auto"/>
                <w:sz w:val="22"/>
                <w:szCs w:val="22"/>
                <w:highlight w:val="none"/>
                <w:u w:val="none"/>
                <w:lang w:bidi="ar-SA"/>
              </w:rPr>
              <w:t>未依法备案建设项目环境影响登记表行为的处罚</w:t>
            </w:r>
          </w:p>
        </w:tc>
        <w:tc>
          <w:tcPr>
            <w:tcW w:w="3938" w:type="dxa"/>
            <w:vAlign w:val="center"/>
          </w:tcPr>
          <w:p w14:paraId="723A9DB9">
            <w:pPr>
              <w:pStyle w:val="7"/>
              <w:keepNext w:val="0"/>
              <w:keepLines w:val="0"/>
              <w:pageBreakBefore w:val="0"/>
              <w:widowControl w:val="0"/>
              <w:suppressAutoHyphens/>
              <w:kinsoku/>
              <w:wordWrap/>
              <w:topLinePunct w:val="0"/>
              <w:bidi w:val="0"/>
              <w:snapToGrid/>
              <w:spacing w:beforeAutospacing="0" w:afterAutospacing="0" w:line="320" w:lineRule="exact"/>
              <w:rPr>
                <w:rFonts w:hint="eastAsia" w:ascii="仿宋_GB2312" w:hAnsi="仿宋_GB2312" w:eastAsia="仿宋_GB2312" w:cs="仿宋_GB2312"/>
                <w:color w:val="000000"/>
                <w:sz w:val="24"/>
                <w:szCs w:val="24"/>
                <w:highlight w:val="none"/>
                <w:u w:val="none"/>
                <w:lang w:eastAsia="zh-CN" w:bidi="ar-SA"/>
              </w:rPr>
            </w:pPr>
            <w:r>
              <w:rPr>
                <w:rFonts w:hint="eastAsia" w:ascii="仿宋_GB2312" w:eastAsia="仿宋_GB2312" w:cs="仿宋_GB2312"/>
                <w:color w:val="auto"/>
                <w:sz w:val="22"/>
                <w:szCs w:val="22"/>
                <w:highlight w:val="none"/>
                <w:u w:val="none"/>
                <w:lang w:bidi="ar-SA"/>
              </w:rPr>
              <w:t>在责令改正书下达前</w:t>
            </w:r>
            <w:r>
              <w:rPr>
                <w:rFonts w:hint="eastAsia" w:ascii="仿宋_GB2312" w:eastAsia="仿宋_GB2312" w:cs="仿宋_GB2312"/>
                <w:color w:val="auto"/>
                <w:sz w:val="22"/>
                <w:szCs w:val="22"/>
                <w:highlight w:val="none"/>
                <w:u w:val="none"/>
                <w:lang w:eastAsia="zh-CN" w:bidi="ar-SA"/>
              </w:rPr>
              <w:t>，主动</w:t>
            </w:r>
            <w:r>
              <w:rPr>
                <w:rFonts w:ascii="Times New Roman" w:hAnsi="Times New Roman" w:eastAsia="楷体" w:cs="Times New Roman"/>
                <w:sz w:val="22"/>
                <w:szCs w:val="22"/>
                <w:highlight w:val="none"/>
              </w:rPr>
              <w:t>【</w:t>
            </w:r>
            <w:r>
              <w:rPr>
                <w:rFonts w:hint="eastAsia" w:ascii="仿宋_GB2312" w:hAnsi="Times New Roman" w:eastAsia="仿宋_GB2312" w:cs="宋体"/>
                <w:strike w:val="0"/>
                <w:dstrike w:val="0"/>
                <w:color w:val="auto"/>
                <w:kern w:val="2"/>
                <w:sz w:val="22"/>
                <w:szCs w:val="22"/>
                <w:highlight w:val="lightGray"/>
                <w:u w:val="none"/>
                <w:lang w:val="en-US" w:eastAsia="zh-CN" w:bidi="ar-SA"/>
              </w:rPr>
              <w:t>停止建设或者</w:t>
            </w:r>
            <w:r>
              <w:rPr>
                <w:rFonts w:ascii="Times New Roman" w:hAnsi="Times New Roman" w:eastAsia="楷体" w:cs="Times New Roman"/>
                <w:sz w:val="22"/>
                <w:szCs w:val="22"/>
              </w:rPr>
              <w:t>】</w:t>
            </w:r>
            <w:r>
              <w:rPr>
                <w:rFonts w:hint="eastAsia" w:ascii="仿宋_GB2312" w:eastAsia="仿宋_GB2312" w:cs="仿宋_GB2312"/>
                <w:color w:val="auto"/>
                <w:sz w:val="22"/>
                <w:szCs w:val="22"/>
                <w:highlight w:val="none"/>
                <w:u w:val="none"/>
                <w:lang w:bidi="ar-SA"/>
              </w:rPr>
              <w:t>停止生产</w:t>
            </w:r>
            <w:r>
              <w:rPr>
                <w:rFonts w:hint="eastAsia" w:ascii="仿宋_GB2312" w:eastAsia="仿宋_GB2312" w:cs="仿宋_GB2312"/>
                <w:color w:val="auto"/>
                <w:sz w:val="22"/>
                <w:szCs w:val="22"/>
                <w:highlight w:val="none"/>
                <w:u w:val="none"/>
                <w:lang w:eastAsia="zh-CN" w:bidi="ar-SA"/>
              </w:rPr>
              <w:t>，</w:t>
            </w:r>
            <w:r>
              <w:rPr>
                <w:rFonts w:hint="eastAsia" w:ascii="仿宋_GB2312" w:eastAsia="仿宋_GB2312" w:cs="仿宋_GB2312"/>
                <w:color w:val="auto"/>
                <w:sz w:val="22"/>
                <w:szCs w:val="22"/>
                <w:highlight w:val="none"/>
                <w:u w:val="none"/>
                <w:lang w:bidi="ar-SA"/>
              </w:rPr>
              <w:t>并</w:t>
            </w:r>
            <w:r>
              <w:rPr>
                <w:rFonts w:hint="eastAsia" w:ascii="仿宋_GB2312" w:eastAsia="仿宋_GB2312" w:cs="仿宋_GB2312"/>
                <w:color w:val="auto"/>
                <w:sz w:val="22"/>
                <w:szCs w:val="22"/>
                <w:highlight w:val="none"/>
                <w:u w:val="none"/>
                <w:lang w:val="en-US" w:eastAsia="zh-CN" w:bidi="ar-SA"/>
              </w:rPr>
              <w:t>在</w:t>
            </w:r>
            <w:r>
              <w:rPr>
                <w:rFonts w:hint="eastAsia" w:ascii="仿宋_GB2312" w:eastAsia="仿宋_GB2312" w:cs="仿宋_GB2312"/>
                <w:color w:val="auto"/>
                <w:sz w:val="22"/>
                <w:szCs w:val="22"/>
                <w:highlight w:val="none"/>
                <w:u w:val="none"/>
                <w:lang w:bidi="ar-SA"/>
              </w:rPr>
              <w:t>5个工作日内</w:t>
            </w:r>
            <w:r>
              <w:rPr>
                <w:rFonts w:hint="eastAsia" w:ascii="仿宋_GB2312" w:eastAsia="仿宋_GB2312" w:cs="仿宋_GB2312"/>
                <w:color w:val="auto"/>
                <w:sz w:val="22"/>
                <w:szCs w:val="22"/>
                <w:highlight w:val="none"/>
                <w:u w:val="none"/>
                <w:lang w:eastAsia="zh-CN" w:bidi="ar-SA"/>
              </w:rPr>
              <w:t>改正的；或者</w:t>
            </w:r>
            <w:r>
              <w:rPr>
                <w:rFonts w:hint="eastAsia" w:ascii="仿宋_GB2312" w:eastAsia="仿宋_GB2312" w:cs="仿宋_GB2312"/>
                <w:color w:val="auto"/>
                <w:sz w:val="22"/>
                <w:szCs w:val="22"/>
                <w:highlight w:val="none"/>
                <w:u w:val="none"/>
                <w:lang w:bidi="ar-SA"/>
              </w:rPr>
              <w:t>在责令改正书下达前</w:t>
            </w:r>
            <w:r>
              <w:rPr>
                <w:rFonts w:hint="eastAsia" w:ascii="仿宋_GB2312" w:eastAsia="仿宋_GB2312" w:cs="仿宋_GB2312"/>
                <w:color w:val="auto"/>
                <w:sz w:val="22"/>
                <w:szCs w:val="22"/>
                <w:highlight w:val="none"/>
                <w:u w:val="none"/>
                <w:lang w:eastAsia="zh-CN" w:bidi="ar-SA"/>
              </w:rPr>
              <w:t>，</w:t>
            </w:r>
            <w:r>
              <w:rPr>
                <w:rFonts w:hint="eastAsia" w:ascii="仿宋_GB2312" w:eastAsia="仿宋_GB2312" w:cs="仿宋_GB2312"/>
                <w:color w:val="auto"/>
                <w:sz w:val="22"/>
                <w:szCs w:val="22"/>
                <w:highlight w:val="none"/>
                <w:u w:val="none"/>
                <w:lang w:bidi="ar-SA"/>
              </w:rPr>
              <w:t>主动实施关停的。</w:t>
            </w:r>
          </w:p>
        </w:tc>
        <w:tc>
          <w:tcPr>
            <w:tcW w:w="6300" w:type="dxa"/>
            <w:vAlign w:val="center"/>
          </w:tcPr>
          <w:p w14:paraId="5BA2F8D3">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1.《中华人民共和国生态环境法典》</w:t>
            </w:r>
            <w:r>
              <w:rPr>
                <w:rFonts w:hint="eastAsia" w:ascii="仿宋_GB2312" w:eastAsia="仿宋_GB2312" w:cs="宋体"/>
                <w:color w:val="auto"/>
                <w:sz w:val="22"/>
                <w:szCs w:val="22"/>
                <w:highlight w:val="yellow"/>
                <w:u w:val="none"/>
                <w:lang w:val="en-US" w:eastAsia="zh-CN" w:bidi="ar-SA"/>
              </w:rPr>
              <w:t>（自20</w:t>
            </w:r>
            <w:r>
              <w:rPr>
                <w:rFonts w:hint="eastAsia" w:ascii="仿宋_GB2312" w:cs="宋体"/>
                <w:color w:val="auto"/>
                <w:sz w:val="22"/>
                <w:szCs w:val="22"/>
                <w:highlight w:val="yellow"/>
                <w:u w:val="none"/>
                <w:lang w:val="en-US" w:eastAsia="zh-CN" w:bidi="ar-SA"/>
              </w:rPr>
              <w:t>26</w:t>
            </w:r>
            <w:r>
              <w:rPr>
                <w:rFonts w:hint="eastAsia" w:ascii="仿宋_GB2312" w:eastAsia="仿宋_GB2312" w:cs="宋体"/>
                <w:color w:val="auto"/>
                <w:sz w:val="22"/>
                <w:szCs w:val="22"/>
                <w:highlight w:val="yellow"/>
                <w:u w:val="none"/>
                <w:lang w:val="en-US" w:eastAsia="zh-CN" w:bidi="ar-SA"/>
              </w:rPr>
              <w:t>年</w:t>
            </w:r>
            <w:r>
              <w:rPr>
                <w:rFonts w:hint="eastAsia" w:ascii="仿宋_GB2312" w:cs="宋体"/>
                <w:color w:val="auto"/>
                <w:sz w:val="22"/>
                <w:szCs w:val="22"/>
                <w:highlight w:val="yellow"/>
                <w:u w:val="none"/>
                <w:lang w:val="en-US" w:eastAsia="zh-CN" w:bidi="ar-SA"/>
              </w:rPr>
              <w:t>8</w:t>
            </w:r>
            <w:r>
              <w:rPr>
                <w:rFonts w:hint="eastAsia" w:ascii="仿宋_GB2312" w:eastAsia="仿宋_GB2312" w:cs="宋体"/>
                <w:color w:val="auto"/>
                <w:sz w:val="22"/>
                <w:szCs w:val="22"/>
                <w:highlight w:val="yellow"/>
                <w:u w:val="none"/>
                <w:lang w:val="en-US" w:eastAsia="zh-CN" w:bidi="ar-SA"/>
              </w:rPr>
              <w:t>月</w:t>
            </w: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highlight w:val="yellow"/>
                <w:u w:val="none"/>
                <w:lang w:val="en-US" w:eastAsia="zh-CN" w:bidi="ar-SA"/>
              </w:rPr>
              <w:t>5日起施行）</w:t>
            </w:r>
          </w:p>
          <w:p w14:paraId="319F46F1">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16" w:firstLineChars="200"/>
              <w:jc w:val="both"/>
              <w:textAlignment w:val="auto"/>
              <w:rPr>
                <w:rFonts w:ascii="仿宋_GB2312" w:eastAsia="仿宋_GB2312" w:cs="宋体"/>
                <w:color w:val="auto"/>
                <w:spacing w:val="-6"/>
                <w:sz w:val="22"/>
                <w:szCs w:val="22"/>
                <w:highlight w:val="yellow"/>
                <w:u w:val="none"/>
                <w:lang w:val="en-US" w:eastAsia="zh-CN" w:bidi="ar-SA"/>
              </w:rPr>
            </w:pPr>
            <w:r>
              <w:rPr>
                <w:rFonts w:ascii="仿宋_GB2312" w:eastAsia="仿宋_GB2312" w:cs="宋体"/>
                <w:color w:val="auto"/>
                <w:spacing w:val="-6"/>
                <w:sz w:val="22"/>
                <w:szCs w:val="22"/>
                <w:highlight w:val="yellow"/>
                <w:u w:val="none"/>
                <w:lang w:val="en-US" w:eastAsia="zh-CN" w:bidi="ar-SA"/>
              </w:rPr>
              <w:t>第一百零二条</w:t>
            </w:r>
            <w:r>
              <w:rPr>
                <w:rFonts w:hint="eastAsia" w:ascii="仿宋_GB2312" w:eastAsia="仿宋_GB2312" w:cs="宋体"/>
                <w:color w:val="auto"/>
                <w:spacing w:val="-6"/>
                <w:sz w:val="22"/>
                <w:szCs w:val="22"/>
                <w:highlight w:val="yellow"/>
                <w:u w:val="none"/>
                <w:lang w:val="en-US" w:eastAsia="zh-CN" w:bidi="ar-SA"/>
              </w:rPr>
              <w:t>第三款</w:t>
            </w:r>
            <w:r>
              <w:rPr>
                <w:rFonts w:hint="eastAsia" w:ascii="仿宋_GB2312" w:cs="宋体"/>
                <w:color w:val="auto"/>
                <w:spacing w:val="-6"/>
                <w:sz w:val="22"/>
                <w:szCs w:val="22"/>
                <w:highlight w:val="yellow"/>
                <w:u w:val="none"/>
                <w:lang w:val="en-US" w:eastAsia="zh-CN" w:bidi="ar-SA"/>
              </w:rPr>
              <w:t xml:space="preserve"> </w:t>
            </w:r>
            <w:r>
              <w:rPr>
                <w:rFonts w:ascii="仿宋_GB2312" w:eastAsia="仿宋_GB2312" w:cs="宋体"/>
                <w:color w:val="auto"/>
                <w:spacing w:val="-6"/>
                <w:sz w:val="22"/>
                <w:szCs w:val="22"/>
                <w:highlight w:val="yellow"/>
                <w:u w:val="none"/>
                <w:lang w:val="en-US" w:eastAsia="zh-CN" w:bidi="ar-SA"/>
              </w:rPr>
              <w:t>国家对生态环境影响登记表实行备案管理。</w:t>
            </w:r>
          </w:p>
          <w:p w14:paraId="0FC86DB0">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416" w:firstLineChars="200"/>
              <w:textAlignment w:val="auto"/>
              <w:rPr>
                <w:rFonts w:hint="eastAsia" w:ascii="仿宋_GB2312" w:eastAsia="仿宋_GB2312" w:cs="宋体"/>
                <w:strike w:val="0"/>
                <w:dstrike w:val="0"/>
                <w:color w:val="auto"/>
                <w:sz w:val="22"/>
                <w:szCs w:val="22"/>
                <w:highlight w:val="lightGray"/>
                <w:u w:val="none"/>
                <w:lang w:bidi="ar-SA"/>
              </w:rPr>
            </w:pPr>
            <w:r>
              <w:rPr>
                <w:rFonts w:ascii="仿宋_GB2312" w:eastAsia="仿宋_GB2312" w:cs="宋体"/>
                <w:color w:val="auto"/>
                <w:spacing w:val="-6"/>
                <w:sz w:val="22"/>
                <w:szCs w:val="22"/>
                <w:highlight w:val="yellow"/>
                <w:u w:val="none"/>
                <w:lang w:val="en-US" w:eastAsia="zh-CN" w:bidi="ar-SA"/>
              </w:rPr>
              <w:t>第一千零九十五条</w:t>
            </w:r>
            <w:r>
              <w:rPr>
                <w:rFonts w:hint="eastAsia" w:ascii="仿宋_GB2312" w:eastAsia="仿宋_GB2312" w:cs="宋体"/>
                <w:color w:val="auto"/>
                <w:spacing w:val="-6"/>
                <w:sz w:val="22"/>
                <w:szCs w:val="22"/>
                <w:highlight w:val="yellow"/>
                <w:u w:val="none"/>
                <w:lang w:val="en-US" w:eastAsia="zh-CN" w:bidi="ar-SA"/>
              </w:rPr>
              <w:t>第三款</w:t>
            </w:r>
            <w:r>
              <w:rPr>
                <w:rFonts w:ascii="仿宋_GB2312" w:eastAsia="仿宋_GB2312" w:cs="宋体"/>
                <w:color w:val="auto"/>
                <w:spacing w:val="-6"/>
                <w:sz w:val="22"/>
                <w:szCs w:val="22"/>
                <w:highlight w:val="yellow"/>
                <w:u w:val="none"/>
                <w:lang w:val="en-US" w:eastAsia="zh-CN" w:bidi="ar-SA"/>
              </w:rPr>
              <w:t>　违反本法规定，建设单位未依法将建设项目生态环境影响登记表报生态环境主管部门备案的，由生态环境主管部门责令改正，可以处五万元以下的罚款。</w:t>
            </w:r>
            <w:r>
              <w:rPr>
                <w:rFonts w:ascii="仿宋_GB2312" w:eastAsia="仿宋_GB2312" w:cs="宋体"/>
                <w:color w:val="auto"/>
                <w:spacing w:val="-6"/>
                <w:sz w:val="22"/>
                <w:szCs w:val="22"/>
                <w:highlight w:val="yellow"/>
                <w:u w:val="none"/>
                <w:lang w:val="en-US" w:eastAsia="zh-CN" w:bidi="ar-SA"/>
              </w:rPr>
              <w:br w:type="textWrapping"/>
            </w:r>
            <w:r>
              <w:rPr>
                <w:rFonts w:hint="eastAsia" w:ascii="仿宋_GB2312" w:cs="宋体"/>
                <w:color w:val="auto"/>
                <w:spacing w:val="-6"/>
                <w:sz w:val="22"/>
                <w:szCs w:val="22"/>
                <w:highlight w:val="yellow"/>
                <w:u w:val="none"/>
                <w:lang w:val="en-US" w:eastAsia="zh-CN" w:bidi="ar-SA"/>
              </w:rPr>
              <w:t xml:space="preserve">    </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bidi="ar-SA"/>
              </w:rPr>
              <w:t>1.</w:t>
            </w:r>
            <w:r>
              <w:rPr>
                <w:rFonts w:hint="eastAsia" w:ascii="宋体" w:eastAsia="宋体" w:cs="宋体"/>
                <w:strike w:val="0"/>
                <w:dstrike w:val="0"/>
                <w:color w:val="auto"/>
                <w:sz w:val="22"/>
                <w:szCs w:val="22"/>
                <w:highlight w:val="lightGray"/>
                <w:u w:val="none"/>
                <w:lang w:bidi="ar-SA"/>
              </w:rPr>
              <w:t>《</w:t>
            </w:r>
            <w:r>
              <w:rPr>
                <w:rFonts w:hint="eastAsia" w:ascii="仿宋_GB2312" w:eastAsia="仿宋_GB2312" w:cs="宋体"/>
                <w:strike w:val="0"/>
                <w:dstrike w:val="0"/>
                <w:color w:val="auto"/>
                <w:sz w:val="22"/>
                <w:szCs w:val="22"/>
                <w:highlight w:val="lightGray"/>
                <w:u w:val="none"/>
                <w:lang w:bidi="ar-SA"/>
              </w:rPr>
              <w:t>中华人民共和国环境影响评价法》（2018年修订）</w:t>
            </w:r>
          </w:p>
          <w:p w14:paraId="591D4DC5">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440" w:firstLineChars="200"/>
              <w:textAlignment w:val="auto"/>
              <w:rPr>
                <w:rFonts w:hint="eastAsia" w:ascii="仿宋_GB2312" w:eastAsia="仿宋_GB2312" w:cs="宋体"/>
                <w:strike w:val="0"/>
                <w:dstrike w:val="0"/>
                <w:color w:val="auto"/>
                <w:sz w:val="22"/>
                <w:szCs w:val="22"/>
                <w:highlight w:val="lightGray"/>
                <w:u w:val="none"/>
                <w:lang w:bidi="ar-SA"/>
              </w:rPr>
            </w:pPr>
            <w:r>
              <w:rPr>
                <w:rFonts w:hint="eastAsia" w:ascii="仿宋_GB2312" w:eastAsia="仿宋_GB2312" w:cs="宋体"/>
                <w:strike w:val="0"/>
                <w:dstrike w:val="0"/>
                <w:color w:val="auto"/>
                <w:sz w:val="22"/>
                <w:szCs w:val="22"/>
                <w:highlight w:val="lightGray"/>
                <w:u w:val="none"/>
                <w:lang w:bidi="ar-SA"/>
              </w:rPr>
              <w:t>第二十二条第四款  国家对环境影响登记表实行备案管理。</w:t>
            </w:r>
          </w:p>
          <w:p w14:paraId="1509B9AA">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440" w:firstLineChars="200"/>
              <w:textAlignment w:val="auto"/>
              <w:rPr>
                <w:rFonts w:hint="eastAsia" w:ascii="仿宋_GB2312" w:eastAsia="仿宋_GB2312" w:cs="宋体"/>
                <w:color w:val="auto"/>
                <w:sz w:val="22"/>
                <w:szCs w:val="22"/>
                <w:highlight w:val="lightGray"/>
                <w:u w:val="none"/>
                <w:lang w:bidi="ar-SA"/>
              </w:rPr>
            </w:pPr>
            <w:r>
              <w:rPr>
                <w:rFonts w:hint="eastAsia" w:ascii="仿宋_GB2312" w:eastAsia="仿宋_GB2312" w:cs="宋体"/>
                <w:strike w:val="0"/>
                <w:dstrike w:val="0"/>
                <w:color w:val="auto"/>
                <w:sz w:val="22"/>
                <w:szCs w:val="22"/>
                <w:highlight w:val="lightGray"/>
                <w:u w:val="none"/>
                <w:lang w:bidi="ar-SA"/>
              </w:rPr>
              <w:t xml:space="preserve">第三十一条第三款 </w:t>
            </w:r>
            <w:r>
              <w:rPr>
                <w:rFonts w:hint="eastAsia" w:ascii="仿宋_GB2312" w:cs="宋体"/>
                <w:strike w:val="0"/>
                <w:dstrike w:val="0"/>
                <w:color w:val="auto"/>
                <w:sz w:val="22"/>
                <w:szCs w:val="22"/>
                <w:highlight w:val="lightGray"/>
                <w:u w:val="none"/>
                <w:lang w:val="en-US" w:eastAsia="zh-CN" w:bidi="ar-SA"/>
              </w:rPr>
              <w:t xml:space="preserve"> </w:t>
            </w:r>
            <w:r>
              <w:rPr>
                <w:rFonts w:hint="eastAsia" w:ascii="仿宋_GB2312" w:eastAsia="仿宋_GB2312" w:cs="宋体"/>
                <w:strike w:val="0"/>
                <w:dstrike w:val="0"/>
                <w:color w:val="auto"/>
                <w:sz w:val="22"/>
                <w:szCs w:val="22"/>
                <w:highlight w:val="lightGray"/>
                <w:u w:val="none"/>
                <w:lang w:bidi="ar-SA"/>
              </w:rPr>
              <w:t>建设单位未依法备案建设项目环境影响登记表的，由县级以上生态环境主管部门责令备案，处五万元以下的罚款。</w:t>
            </w:r>
            <w:r>
              <w:rPr>
                <w:rFonts w:ascii="Times New Roman" w:hAnsi="Times New Roman" w:eastAsia="楷体" w:cs="Times New Roman"/>
                <w:sz w:val="22"/>
                <w:szCs w:val="22"/>
              </w:rPr>
              <w:t>】</w:t>
            </w:r>
          </w:p>
          <w:p w14:paraId="2332C779">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440" w:firstLineChars="200"/>
              <w:textAlignment w:val="auto"/>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2.《建设项目环境保护管理条例》（2017修订）</w:t>
            </w:r>
          </w:p>
          <w:p w14:paraId="27B95CA5">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440" w:firstLineChars="200"/>
              <w:textAlignment w:val="auto"/>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第九条</w:t>
            </w:r>
            <w:r>
              <w:rPr>
                <w:rFonts w:hint="eastAsia" w:ascii="仿宋_GB2312" w:eastAsia="仿宋_GB2312" w:cs="宋体"/>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bidi="ar-SA"/>
              </w:rPr>
              <w:t xml:space="preserve">第四款 </w:t>
            </w:r>
            <w:r>
              <w:rPr>
                <w:rFonts w:hint="eastAsia" w:ascii="仿宋_GB2312" w:eastAsia="仿宋_GB2312" w:cs="宋体"/>
                <w:color w:val="auto"/>
                <w:sz w:val="22"/>
                <w:szCs w:val="22"/>
                <w:highlight w:val="none"/>
                <w:u w:val="none"/>
                <w:lang w:val="en-US" w:bidi="ar-SA"/>
              </w:rPr>
              <w:t xml:space="preserve"> </w:t>
            </w:r>
            <w:r>
              <w:rPr>
                <w:rFonts w:hint="eastAsia" w:ascii="仿宋_GB2312" w:eastAsia="仿宋_GB2312" w:cs="宋体"/>
                <w:color w:val="auto"/>
                <w:sz w:val="22"/>
                <w:szCs w:val="22"/>
                <w:highlight w:val="none"/>
                <w:u w:val="none"/>
                <w:lang w:bidi="ar-SA"/>
              </w:rPr>
              <w:t>依法应当填报环境影响登记表的建设项目，建设单位应当按照国务院环境保护行政主管部门的规定将环境影响登记表报建设项目所在地县级环境保护行政主管部门备案。</w:t>
            </w:r>
          </w:p>
          <w:p w14:paraId="637C4EA1">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textAlignment w:val="auto"/>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3.《建设项目环境影响登记表备案管理办法》</w:t>
            </w:r>
          </w:p>
          <w:p w14:paraId="61A6F784">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textAlignment w:val="auto"/>
              <w:rPr>
                <w:rFonts w:hint="eastAsia" w:ascii="宋体" w:hAnsi="宋体" w:eastAsia="宋体" w:cs="宋体"/>
                <w:color w:val="000000"/>
                <w:kern w:val="0"/>
                <w:sz w:val="24"/>
                <w:szCs w:val="24"/>
                <w:highlight w:val="none"/>
                <w:u w:val="none"/>
                <w:lang w:val="en-US" w:eastAsia="zh-CN"/>
              </w:rPr>
            </w:pPr>
            <w:r>
              <w:rPr>
                <w:rFonts w:hint="eastAsia" w:ascii="仿宋_GB2312" w:eastAsia="仿宋_GB2312" w:cs="宋体"/>
                <w:color w:val="auto"/>
                <w:sz w:val="22"/>
                <w:szCs w:val="22"/>
                <w:highlight w:val="none"/>
                <w:u w:val="none"/>
                <w:lang w:bidi="ar-SA"/>
              </w:rPr>
              <w:t xml:space="preserve">第九条 </w:t>
            </w:r>
            <w:r>
              <w:rPr>
                <w:rFonts w:hint="eastAsia" w:ascii="仿宋_GB2312" w:eastAsia="仿宋_GB2312" w:cs="宋体"/>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bidi="ar-SA"/>
              </w:rPr>
              <w:t>建设单位应当在建设项目建成并投入生产运营前，登录网上备案系统, 在网上备案系统注册真实信息，在线填报并提交建设项目环境影响登记表。</w:t>
            </w:r>
          </w:p>
        </w:tc>
        <w:tc>
          <w:tcPr>
            <w:tcW w:w="1868" w:type="dxa"/>
            <w:vAlign w:val="center"/>
          </w:tcPr>
          <w:p w14:paraId="47BBFE5C">
            <w:pPr>
              <w:keepNext w:val="0"/>
              <w:keepLines w:val="0"/>
              <w:pageBreakBefore w:val="0"/>
              <w:widowControl w:val="0"/>
              <w:kinsoku/>
              <w:wordWrap/>
              <w:topLinePunct w:val="0"/>
              <w:bidi w:val="0"/>
              <w:snapToGrid/>
              <w:spacing w:beforeAutospacing="0" w:afterAutospacing="0" w:line="320" w:lineRule="exact"/>
              <w:jc w:val="center"/>
              <w:rPr>
                <w:rFonts w:ascii="宋体" w:hAnsi="宋体" w:eastAsia="宋体" w:cs="宋体"/>
                <w:color w:val="000000"/>
                <w:kern w:val="0"/>
                <w:sz w:val="24"/>
                <w:szCs w:val="24"/>
                <w:highlight w:val="none"/>
                <w:u w:val="none"/>
                <w:lang w:val="en-US" w:eastAsia="zh-CN"/>
              </w:rPr>
            </w:pPr>
          </w:p>
        </w:tc>
      </w:tr>
    </w:tbl>
    <w:p w14:paraId="040D0F7D">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Spec="center" w:tblpY="1"/>
        <w:tblOverlap w:val="never"/>
        <w:tblW w:w="1457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50"/>
        <w:gridCol w:w="1732"/>
        <w:gridCol w:w="3927"/>
        <w:gridCol w:w="6328"/>
        <w:gridCol w:w="1839"/>
      </w:tblGrid>
      <w:tr w14:paraId="07045E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35" w:hRule="atLeast"/>
        </w:trPr>
        <w:tc>
          <w:tcPr>
            <w:tcW w:w="750" w:type="dxa"/>
            <w:vAlign w:val="center"/>
          </w:tcPr>
          <w:p w14:paraId="675954B5">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hint="eastAsia" w:ascii="Times New Roman" w:hAnsi="Times New Roman" w:eastAsia="宋体" w:cs="Times New Roman"/>
                <w:kern w:val="0"/>
                <w:sz w:val="24"/>
                <w:szCs w:val="24"/>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2</w:t>
            </w:r>
          </w:p>
        </w:tc>
        <w:tc>
          <w:tcPr>
            <w:tcW w:w="1732" w:type="dxa"/>
            <w:vAlign w:val="center"/>
          </w:tcPr>
          <w:p w14:paraId="18DEFC5A">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rPr>
                <w:rFonts w:hint="eastAsia" w:ascii="仿宋_GB2312" w:hAnsi="仿宋" w:eastAsia="宋体" w:cs="仿宋"/>
                <w:color w:val="000000"/>
                <w:kern w:val="2"/>
                <w:sz w:val="24"/>
                <w:szCs w:val="24"/>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对未依法报请重新审核</w:t>
            </w:r>
            <w:r>
              <w:rPr>
                <w:rFonts w:hint="eastAsia" w:ascii="仿宋_GB2312" w:cs="宋体"/>
                <w:color w:val="auto"/>
                <w:sz w:val="22"/>
                <w:szCs w:val="22"/>
                <w:highlight w:val="none"/>
                <w:u w:val="none"/>
                <w:lang w:val="en-US" w:eastAsia="zh-CN" w:bidi="ar-SA"/>
              </w:rPr>
              <w:t>、</w:t>
            </w:r>
            <w:r>
              <w:rPr>
                <w:rFonts w:hint="eastAsia" w:ascii="仿宋_GB2312" w:eastAsia="仿宋_GB2312" w:cs="宋体"/>
                <w:color w:val="auto"/>
                <w:sz w:val="22"/>
                <w:szCs w:val="22"/>
                <w:highlight w:val="none"/>
                <w:u w:val="none"/>
                <w:lang w:val="en-US" w:eastAsia="zh-CN" w:bidi="ar-SA"/>
              </w:rPr>
              <w:t>未依法报批</w:t>
            </w:r>
            <w:r>
              <w:rPr>
                <w:rFonts w:hint="eastAsia" w:ascii="仿宋_GB2312" w:cs="宋体"/>
                <w:color w:val="auto"/>
                <w:sz w:val="22"/>
                <w:szCs w:val="22"/>
                <w:highlight w:val="yellow"/>
                <w:u w:val="none"/>
                <w:lang w:val="en-US" w:eastAsia="zh-CN" w:bidi="ar-SA"/>
              </w:rPr>
              <w:t>或重新报批</w:t>
            </w:r>
            <w:r>
              <w:rPr>
                <w:rFonts w:hint="eastAsia" w:ascii="仿宋_GB2312" w:eastAsia="仿宋_GB2312" w:cs="宋体"/>
                <w:color w:val="auto"/>
                <w:sz w:val="22"/>
                <w:szCs w:val="22"/>
                <w:highlight w:val="none"/>
                <w:u w:val="none"/>
                <w:lang w:val="en-US" w:eastAsia="zh-CN" w:bidi="ar-SA"/>
              </w:rPr>
              <w:t>环境影响报告书、报告表擅自</w:t>
            </w:r>
            <w:r>
              <w:rPr>
                <w:rFonts w:hint="eastAsia" w:ascii="仿宋_GB2312" w:hAnsi="Calibri" w:eastAsia="仿宋_GB2312" w:cs="宋体"/>
                <w:color w:val="auto"/>
                <w:kern w:val="2"/>
                <w:sz w:val="22"/>
                <w:szCs w:val="22"/>
                <w:highlight w:val="none"/>
                <w:u w:val="none"/>
                <w:lang w:val="en-US" w:eastAsia="zh-CN" w:bidi="ar-SA"/>
              </w:rPr>
              <w:t>开工建设</w:t>
            </w:r>
            <w:r>
              <w:rPr>
                <w:rFonts w:hint="eastAsia" w:ascii="仿宋_GB2312" w:eastAsia="仿宋_GB2312" w:cs="宋体"/>
                <w:color w:val="auto"/>
                <w:sz w:val="22"/>
                <w:szCs w:val="22"/>
                <w:highlight w:val="none"/>
                <w:u w:val="none"/>
                <w:lang w:val="en-US" w:eastAsia="zh-CN" w:bidi="ar-SA"/>
              </w:rPr>
              <w:t>的处罚</w:t>
            </w:r>
          </w:p>
        </w:tc>
        <w:tc>
          <w:tcPr>
            <w:tcW w:w="3927" w:type="dxa"/>
            <w:vAlign w:val="center"/>
          </w:tcPr>
          <w:p w14:paraId="40F7B68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0"/>
              <w:textAlignment w:val="center"/>
              <w:rPr>
                <w:rFonts w:hint="eastAsia" w:ascii="Calibri" w:hAnsi="Calibri" w:eastAsia="宋体" w:cs="Times New Roman"/>
                <w:kern w:val="2"/>
                <w:sz w:val="21"/>
                <w:szCs w:val="24"/>
                <w:highlight w:val="none"/>
                <w:u w:val="none"/>
                <w:lang w:val="en-US" w:eastAsia="zh-CN" w:bidi="ar-SA"/>
              </w:rPr>
            </w:pPr>
            <w:r>
              <w:rPr>
                <w:rFonts w:hint="eastAsia" w:ascii="仿宋_GB2312" w:hAnsi="Calibri" w:eastAsia="仿宋_GB2312" w:cs="宋体"/>
                <w:color w:val="auto"/>
                <w:kern w:val="2"/>
                <w:sz w:val="22"/>
                <w:szCs w:val="22"/>
                <w:highlight w:val="none"/>
                <w:u w:val="none"/>
                <w:lang w:val="en-US" w:eastAsia="zh-CN" w:bidi="ar-SA"/>
              </w:rPr>
              <w:t>依法应当编制环境影响报告表的建设项目</w:t>
            </w:r>
            <w:r>
              <w:rPr>
                <w:rFonts w:hint="eastAsia" w:ascii="仿宋_GB2312" w:eastAsia="仿宋_GB2312" w:cs="宋体"/>
                <w:color w:val="auto"/>
                <w:kern w:val="2"/>
                <w:sz w:val="22"/>
                <w:szCs w:val="22"/>
                <w:highlight w:val="none"/>
                <w:u w:val="none"/>
                <w:lang w:val="en-US" w:eastAsia="zh-CN" w:bidi="ar-SA"/>
              </w:rPr>
              <w:t>，</w:t>
            </w:r>
            <w:r>
              <w:rPr>
                <w:rFonts w:hint="eastAsia" w:ascii="仿宋_GB2312" w:hAnsi="Calibri" w:eastAsia="仿宋_GB2312" w:cs="宋体"/>
                <w:color w:val="auto"/>
                <w:kern w:val="2"/>
                <w:sz w:val="22"/>
                <w:szCs w:val="22"/>
                <w:highlight w:val="none"/>
                <w:u w:val="none"/>
                <w:lang w:val="en-US" w:eastAsia="zh-CN" w:bidi="ar-SA"/>
              </w:rPr>
              <w:t>或者依法应当编制环境影响报告书的基本民生、公共利益类建设项目（包括供水、排水、供电、供热、供气、医院、城镇污水处理、生活垃圾处理、危险废物处置、工业区污水处理等公共设施）</w:t>
            </w:r>
            <w:r>
              <w:rPr>
                <w:rFonts w:hint="eastAsia" w:ascii="仿宋_GB2312" w:eastAsia="仿宋_GB2312" w:cs="宋体"/>
                <w:color w:val="auto"/>
                <w:kern w:val="2"/>
                <w:sz w:val="22"/>
                <w:szCs w:val="22"/>
                <w:highlight w:val="none"/>
                <w:u w:val="none"/>
                <w:lang w:val="en-US" w:eastAsia="zh-CN" w:bidi="ar-SA"/>
              </w:rPr>
              <w:t>，</w:t>
            </w:r>
            <w:r>
              <w:rPr>
                <w:rFonts w:hint="eastAsia" w:ascii="仿宋_GB2312" w:hAnsi="Calibri" w:eastAsia="仿宋_GB2312" w:cs="宋体"/>
                <w:color w:val="auto"/>
                <w:kern w:val="2"/>
                <w:sz w:val="22"/>
                <w:szCs w:val="22"/>
                <w:highlight w:val="none"/>
                <w:u w:val="none"/>
                <w:lang w:val="en-US" w:eastAsia="zh-CN" w:bidi="ar-SA"/>
              </w:rPr>
              <w:t>尚在建设期间</w:t>
            </w:r>
            <w:r>
              <w:rPr>
                <w:rFonts w:hint="eastAsia" w:ascii="仿宋_GB2312" w:eastAsia="仿宋_GB2312" w:cs="宋体"/>
                <w:color w:val="auto"/>
                <w:kern w:val="2"/>
                <w:sz w:val="22"/>
                <w:szCs w:val="22"/>
                <w:highlight w:val="none"/>
                <w:u w:val="none"/>
                <w:lang w:val="en-US" w:eastAsia="zh-CN" w:bidi="ar-SA"/>
              </w:rPr>
              <w:t>或者</w:t>
            </w:r>
            <w:r>
              <w:rPr>
                <w:rFonts w:hint="eastAsia" w:ascii="仿宋_GB2312" w:eastAsia="仿宋_GB2312" w:cs="宋体"/>
                <w:b w:val="0"/>
                <w:color w:val="auto"/>
                <w:kern w:val="2"/>
                <w:sz w:val="22"/>
                <w:szCs w:val="22"/>
                <w:highlight w:val="none"/>
                <w:u w:val="none"/>
                <w:lang w:val="en-US" w:eastAsia="zh-CN" w:bidi="ar-SA"/>
              </w:rPr>
              <w:t>已经建成但</w:t>
            </w:r>
            <w:r>
              <w:rPr>
                <w:rFonts w:hint="eastAsia" w:ascii="仿宋_GB2312" w:hAnsi="Calibri" w:eastAsia="仿宋_GB2312" w:cs="宋体"/>
                <w:b w:val="0"/>
                <w:color w:val="auto"/>
                <w:kern w:val="2"/>
                <w:sz w:val="22"/>
                <w:szCs w:val="22"/>
                <w:highlight w:val="none"/>
                <w:u w:val="none"/>
                <w:lang w:val="en-US" w:eastAsia="zh-CN" w:bidi="ar-SA"/>
              </w:rPr>
              <w:t>尚未投产或使用</w:t>
            </w:r>
            <w:r>
              <w:rPr>
                <w:rFonts w:hint="eastAsia" w:ascii="仿宋_GB2312" w:eastAsia="仿宋_GB2312" w:cs="宋体"/>
                <w:b w:val="0"/>
                <w:color w:val="auto"/>
                <w:kern w:val="2"/>
                <w:sz w:val="22"/>
                <w:szCs w:val="22"/>
                <w:highlight w:val="none"/>
                <w:u w:val="none"/>
                <w:lang w:val="en-US" w:eastAsia="zh-CN" w:bidi="ar-SA"/>
              </w:rPr>
              <w:t>，</w:t>
            </w:r>
            <w:r>
              <w:rPr>
                <w:rFonts w:hint="eastAsia" w:ascii="仿宋_GB2312" w:hAnsi="Calibri" w:eastAsia="仿宋_GB2312" w:cs="宋体"/>
                <w:color w:val="auto"/>
                <w:kern w:val="2"/>
                <w:sz w:val="22"/>
                <w:szCs w:val="22"/>
                <w:highlight w:val="none"/>
                <w:u w:val="none"/>
                <w:lang w:val="en-US" w:eastAsia="zh-CN" w:bidi="ar-SA"/>
              </w:rPr>
              <w:t>未造成明显环境污染后果，</w:t>
            </w:r>
            <w:r>
              <w:rPr>
                <w:rFonts w:hint="eastAsia" w:ascii="仿宋_GB2312" w:eastAsia="仿宋_GB2312" w:cs="仿宋_GB2312"/>
                <w:color w:val="auto"/>
                <w:sz w:val="22"/>
                <w:szCs w:val="22"/>
                <w:highlight w:val="none"/>
                <w:u w:val="none"/>
                <w:lang w:bidi="ar-SA"/>
              </w:rPr>
              <w:t>在责令改正书下达前</w:t>
            </w:r>
            <w:r>
              <w:rPr>
                <w:rFonts w:hint="eastAsia" w:ascii="仿宋_GB2312" w:eastAsia="仿宋_GB2312" w:cs="仿宋_GB2312"/>
                <w:color w:val="auto"/>
                <w:sz w:val="22"/>
                <w:szCs w:val="22"/>
                <w:highlight w:val="none"/>
                <w:u w:val="none"/>
                <w:lang w:eastAsia="zh-CN" w:bidi="ar-SA"/>
              </w:rPr>
              <w:t>，</w:t>
            </w:r>
            <w:r>
              <w:rPr>
                <w:rFonts w:hint="eastAsia" w:ascii="仿宋_GB2312" w:hAnsi="Calibri" w:eastAsia="仿宋_GB2312" w:cs="宋体"/>
                <w:color w:val="auto"/>
                <w:kern w:val="2"/>
                <w:sz w:val="22"/>
                <w:szCs w:val="22"/>
                <w:highlight w:val="none"/>
                <w:u w:val="none"/>
                <w:lang w:val="en-US" w:eastAsia="zh-CN" w:bidi="ar-SA"/>
              </w:rPr>
              <w:t>建设单位主动停止建设或者恢复原状</w:t>
            </w:r>
            <w:r>
              <w:rPr>
                <w:rFonts w:hint="eastAsia" w:ascii="仿宋_GB2312" w:eastAsia="仿宋_GB2312" w:cs="宋体"/>
                <w:color w:val="auto"/>
                <w:kern w:val="2"/>
                <w:sz w:val="22"/>
                <w:szCs w:val="22"/>
                <w:highlight w:val="none"/>
                <w:u w:val="none"/>
                <w:lang w:val="en-US" w:eastAsia="zh-CN" w:bidi="ar-SA"/>
              </w:rPr>
              <w:t>，并在</w:t>
            </w:r>
            <w:r>
              <w:rPr>
                <w:rFonts w:hint="eastAsia" w:ascii="仿宋_GB2312" w:hAnsi="Calibri" w:eastAsia="仿宋_GB2312" w:cs="宋体"/>
                <w:b w:val="0"/>
                <w:color w:val="auto"/>
                <w:kern w:val="2"/>
                <w:sz w:val="22"/>
                <w:szCs w:val="22"/>
                <w:highlight w:val="none"/>
                <w:u w:val="none"/>
                <w:lang w:val="en-US" w:eastAsia="zh-CN" w:bidi="ar-SA"/>
              </w:rPr>
              <w:t>10个工作日内启动环境影响评价材料编制</w:t>
            </w:r>
            <w:r>
              <w:rPr>
                <w:rFonts w:hint="eastAsia" w:ascii="仿宋_GB2312" w:eastAsia="仿宋_GB2312" w:cs="宋体"/>
                <w:b w:val="0"/>
                <w:color w:val="auto"/>
                <w:kern w:val="2"/>
                <w:sz w:val="22"/>
                <w:szCs w:val="22"/>
                <w:highlight w:val="none"/>
                <w:u w:val="none"/>
                <w:lang w:val="en-US" w:eastAsia="zh-CN" w:bidi="ar-SA"/>
              </w:rPr>
              <w:t>或者</w:t>
            </w:r>
            <w:r>
              <w:rPr>
                <w:rFonts w:hint="eastAsia" w:ascii="仿宋_GB2312" w:eastAsia="仿宋_GB2312" w:cs="宋体"/>
                <w:color w:val="auto"/>
                <w:kern w:val="2"/>
                <w:sz w:val="22"/>
                <w:szCs w:val="22"/>
                <w:highlight w:val="none"/>
                <w:u w:val="none"/>
                <w:lang w:val="en-US" w:eastAsia="zh-CN" w:bidi="ar-SA"/>
              </w:rPr>
              <w:t>向生态环境部门报请重新审核或报批</w:t>
            </w:r>
            <w:r>
              <w:rPr>
                <w:rFonts w:hint="eastAsia" w:ascii="仿宋_GB2312" w:eastAsia="仿宋_GB2312" w:cs="宋体"/>
                <w:b w:val="0"/>
                <w:color w:val="auto"/>
                <w:kern w:val="2"/>
                <w:sz w:val="22"/>
                <w:szCs w:val="22"/>
                <w:highlight w:val="none"/>
                <w:u w:val="none"/>
                <w:lang w:val="en-US" w:eastAsia="zh-CN" w:bidi="ar-SA"/>
              </w:rPr>
              <w:t>的。</w:t>
            </w:r>
          </w:p>
        </w:tc>
        <w:tc>
          <w:tcPr>
            <w:tcW w:w="6328" w:type="dxa"/>
            <w:vAlign w:val="center"/>
          </w:tcPr>
          <w:p w14:paraId="51F4A5FF">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《中华人民共和国生态环境法典》</w:t>
            </w:r>
            <w:r>
              <w:rPr>
                <w:rFonts w:hint="eastAsia" w:ascii="仿宋_GB2312" w:eastAsia="仿宋_GB2312" w:cs="宋体"/>
                <w:color w:val="auto"/>
                <w:sz w:val="22"/>
                <w:szCs w:val="22"/>
                <w:highlight w:val="yellow"/>
                <w:u w:val="none"/>
                <w:lang w:val="en-US" w:eastAsia="zh-CN" w:bidi="ar-SA"/>
              </w:rPr>
              <w:t>（自20</w:t>
            </w:r>
            <w:r>
              <w:rPr>
                <w:rFonts w:hint="eastAsia" w:ascii="仿宋_GB2312" w:cs="宋体"/>
                <w:color w:val="auto"/>
                <w:sz w:val="22"/>
                <w:szCs w:val="22"/>
                <w:highlight w:val="yellow"/>
                <w:u w:val="none"/>
                <w:lang w:val="en-US" w:eastAsia="zh-CN" w:bidi="ar-SA"/>
              </w:rPr>
              <w:t>26</w:t>
            </w:r>
            <w:r>
              <w:rPr>
                <w:rFonts w:hint="eastAsia" w:ascii="仿宋_GB2312" w:eastAsia="仿宋_GB2312" w:cs="宋体"/>
                <w:color w:val="auto"/>
                <w:sz w:val="22"/>
                <w:szCs w:val="22"/>
                <w:highlight w:val="yellow"/>
                <w:u w:val="none"/>
                <w:lang w:val="en-US" w:eastAsia="zh-CN" w:bidi="ar-SA"/>
              </w:rPr>
              <w:t>年</w:t>
            </w:r>
            <w:r>
              <w:rPr>
                <w:rFonts w:hint="eastAsia" w:ascii="仿宋_GB2312" w:cs="宋体"/>
                <w:color w:val="auto"/>
                <w:sz w:val="22"/>
                <w:szCs w:val="22"/>
                <w:highlight w:val="yellow"/>
                <w:u w:val="none"/>
                <w:lang w:val="en-US" w:eastAsia="zh-CN" w:bidi="ar-SA"/>
              </w:rPr>
              <w:t>8</w:t>
            </w:r>
            <w:r>
              <w:rPr>
                <w:rFonts w:hint="eastAsia" w:ascii="仿宋_GB2312" w:eastAsia="仿宋_GB2312" w:cs="宋体"/>
                <w:color w:val="auto"/>
                <w:sz w:val="22"/>
                <w:szCs w:val="22"/>
                <w:highlight w:val="yellow"/>
                <w:u w:val="none"/>
                <w:lang w:val="en-US" w:eastAsia="zh-CN" w:bidi="ar-SA"/>
              </w:rPr>
              <w:t>月</w:t>
            </w: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highlight w:val="yellow"/>
                <w:u w:val="none"/>
                <w:lang w:val="en-US" w:eastAsia="zh-CN" w:bidi="ar-SA"/>
              </w:rPr>
              <w:t>5日起施行）</w:t>
            </w:r>
          </w:p>
          <w:p w14:paraId="0ADD28F3">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hAnsi="Times New Roman" w:eastAsia="仿宋_GB2312" w:cs="宋体"/>
                <w:color w:val="auto"/>
                <w:kern w:val="2"/>
                <w:sz w:val="22"/>
                <w:szCs w:val="22"/>
                <w:highlight w:val="yellow"/>
                <w:u w:val="none"/>
                <w:lang w:val="en-US" w:eastAsia="zh-CN" w:bidi="ar-SA"/>
              </w:rPr>
            </w:pPr>
            <w:r>
              <w:rPr>
                <w:rFonts w:hint="eastAsia" w:ascii="仿宋_GB2312" w:hAnsi="Times New Roman" w:eastAsia="仿宋_GB2312" w:cs="宋体"/>
                <w:color w:val="auto"/>
                <w:kern w:val="2"/>
                <w:sz w:val="22"/>
                <w:szCs w:val="22"/>
                <w:highlight w:val="yellow"/>
                <w:u w:val="none"/>
                <w:lang w:val="en-US" w:eastAsia="zh-CN" w:bidi="ar-SA"/>
              </w:rPr>
              <w:t>第一百零二条第一款　建设项目的生态环境影响报告书、生态环境影响报告表，由建设单位按照规定报有审批权的生态环境主管部门审批。</w:t>
            </w:r>
          </w:p>
          <w:p w14:paraId="3F329FC5">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hAnsi="Times New Roman" w:eastAsia="仿宋_GB2312" w:cs="宋体"/>
                <w:color w:val="auto"/>
                <w:kern w:val="2"/>
                <w:sz w:val="22"/>
                <w:szCs w:val="22"/>
                <w:highlight w:val="yellow"/>
                <w:u w:val="none"/>
                <w:lang w:val="en-US" w:eastAsia="zh-CN" w:bidi="ar-SA"/>
              </w:rPr>
            </w:pPr>
            <w:r>
              <w:rPr>
                <w:rFonts w:hint="eastAsia" w:ascii="仿宋_GB2312" w:eastAsia="仿宋_GB2312" w:cs="仿宋_GB2312"/>
                <w:color w:val="auto"/>
                <w:sz w:val="22"/>
                <w:szCs w:val="22"/>
                <w:highlight w:val="yellow"/>
                <w:u w:val="none"/>
                <w:lang w:val="en-US" w:eastAsia="zh-CN" w:bidi="ar-SA"/>
              </w:rPr>
              <w:t>第一百零六条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14:paraId="34CC8EAF">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hAnsi="Times New Roman" w:eastAsia="仿宋_GB2312" w:cs="宋体"/>
                <w:color w:val="auto"/>
                <w:kern w:val="2"/>
                <w:sz w:val="22"/>
                <w:szCs w:val="22"/>
                <w:highlight w:val="yellow"/>
                <w:u w:val="none"/>
                <w:lang w:val="en-US" w:eastAsia="zh-CN" w:bidi="ar-SA"/>
              </w:rPr>
            </w:pPr>
            <w:r>
              <w:rPr>
                <w:rFonts w:hint="eastAsia" w:ascii="仿宋_GB2312" w:hAnsi="Times New Roman" w:eastAsia="仿宋_GB2312" w:cs="宋体"/>
                <w:color w:val="auto"/>
                <w:kern w:val="2"/>
                <w:sz w:val="22"/>
                <w:szCs w:val="22"/>
                <w:highlight w:val="yellow"/>
                <w:u w:val="none"/>
                <w:lang w:val="en-US" w:eastAsia="zh-CN" w:bidi="ar-SA"/>
              </w:rPr>
              <w:t>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7B7ADD63">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both"/>
              <w:textAlignment w:val="auto"/>
              <w:rPr>
                <w:rFonts w:hint="eastAsia" w:ascii="仿宋_GB2312" w:hAnsi="Times New Roman" w:eastAsia="仿宋_GB2312" w:cs="宋体"/>
                <w:color w:val="auto"/>
                <w:kern w:val="2"/>
                <w:sz w:val="22"/>
                <w:szCs w:val="22"/>
                <w:highlight w:val="yellow"/>
                <w:u w:val="none"/>
                <w:lang w:val="en-US" w:eastAsia="zh-CN" w:bidi="ar-SA"/>
              </w:rPr>
            </w:pPr>
            <w:r>
              <w:rPr>
                <w:rFonts w:hint="eastAsia" w:ascii="仿宋_GB2312" w:hAnsi="Times New Roman" w:eastAsia="仿宋_GB2312" w:cs="宋体"/>
                <w:color w:val="auto"/>
                <w:kern w:val="2"/>
                <w:sz w:val="22"/>
                <w:szCs w:val="22"/>
                <w:highlight w:val="yellow"/>
                <w:u w:val="none"/>
                <w:lang w:val="en-US" w:eastAsia="zh-CN" w:bidi="ar-SA"/>
              </w:rPr>
              <w:t>第一百零七条　建设项目的生态环境影响报告书、生态环境影响报告表未依法经审批部门审查或者审查后未予批准的，或者未经原审批部门重新审核同意的，建设单位不得开工建设。</w:t>
            </w:r>
          </w:p>
          <w:p w14:paraId="1B4DC4B0">
            <w:pPr>
              <w:keepNext w:val="0"/>
              <w:keepLines w:val="0"/>
              <w:widowControl/>
              <w:suppressLineNumbers w:val="0"/>
              <w:ind w:firstLine="440" w:firstLineChars="200"/>
              <w:jc w:val="left"/>
              <w:rPr>
                <w:rFonts w:hint="eastAsia" w:ascii="仿宋_GB2312" w:hAnsi="Times New Roman" w:eastAsia="仿宋_GB2312" w:cs="宋体"/>
                <w:color w:val="auto"/>
                <w:kern w:val="2"/>
                <w:sz w:val="22"/>
                <w:szCs w:val="22"/>
                <w:highlight w:val="yellow"/>
                <w:u w:val="none"/>
                <w:lang w:val="en-US" w:eastAsia="zh-CN" w:bidi="ar-SA"/>
              </w:rPr>
            </w:pPr>
            <w:r>
              <w:rPr>
                <w:rFonts w:hint="eastAsia" w:ascii="仿宋_GB2312" w:hAnsi="Times New Roman" w:eastAsia="仿宋_GB2312" w:cs="宋体"/>
                <w:color w:val="auto"/>
                <w:kern w:val="2"/>
                <w:sz w:val="22"/>
                <w:szCs w:val="22"/>
                <w:highlight w:val="yellow"/>
                <w:u w:val="none"/>
                <w:lang w:val="en-US" w:eastAsia="zh-CN" w:bidi="ar-SA"/>
              </w:rPr>
              <w:t>第一千零九十五条第一款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14:paraId="2B72AB7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《中华人民共和国环境影响评价法》（2018年修订）</w:t>
            </w:r>
          </w:p>
          <w:p w14:paraId="435008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第二十四条 第二款  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14:paraId="1BDAD7F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第二十五条　建设项目的环境影响评价文件未依法经审批部门审查或者审查后未予批准的，建设单位不得开工建设。</w:t>
            </w:r>
          </w:p>
          <w:p w14:paraId="3F37D73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第三十一条 第一款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68C4190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第二款 建设项目环境影响报告书、报告表未经批准或者未经原审批部门重新审核同意，建设单位擅自开工建设的，依照前款的规定处罚、处分。</w:t>
            </w:r>
          </w:p>
          <w:p w14:paraId="04BEC1E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第四款  海洋工程建设项目的建设单位有本条所列违法行为的，依照《中华人民共和国海洋环境保护法》的规定处罚。</w:t>
            </w:r>
            <w:r>
              <w:rPr>
                <w:rFonts w:ascii="Times New Roman" w:hAnsi="Times New Roman" w:eastAsia="楷体" w:cs="Times New Roman"/>
                <w:sz w:val="22"/>
                <w:szCs w:val="22"/>
              </w:rPr>
              <w:t>】</w:t>
            </w:r>
          </w:p>
          <w:p w14:paraId="1D63D37F">
            <w:pPr>
              <w:pStyle w:val="2"/>
              <w:rPr>
                <w:rFonts w:hint="eastAsia"/>
                <w:lang w:val="en-US" w:eastAsia="zh-CN"/>
              </w:rPr>
            </w:pPr>
          </w:p>
        </w:tc>
        <w:tc>
          <w:tcPr>
            <w:tcW w:w="1839" w:type="dxa"/>
            <w:vAlign w:val="center"/>
          </w:tcPr>
          <w:p w14:paraId="07BDC80B">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仿宋_GB2312" w:hAnsi="Calibri" w:eastAsia="仿宋_GB2312" w:cs="宋体"/>
                <w:color w:val="auto"/>
                <w:kern w:val="2"/>
                <w:sz w:val="22"/>
                <w:szCs w:val="22"/>
                <w:highlight w:val="none"/>
                <w:u w:val="none"/>
                <w:lang w:val="en-US" w:eastAsia="zh-CN" w:bidi="ar-SA"/>
              </w:rPr>
            </w:pPr>
          </w:p>
        </w:tc>
      </w:tr>
    </w:tbl>
    <w:p w14:paraId="18EB7A89">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Spec="center" w:tblpY="1"/>
        <w:tblOverlap w:val="never"/>
        <w:tblW w:w="14631"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50"/>
        <w:gridCol w:w="28"/>
        <w:gridCol w:w="1719"/>
        <w:gridCol w:w="3957"/>
        <w:gridCol w:w="6256"/>
        <w:gridCol w:w="25"/>
        <w:gridCol w:w="1885"/>
        <w:gridCol w:w="11"/>
      </w:tblGrid>
      <w:tr w14:paraId="3A63AC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66" w:hRule="atLeast"/>
        </w:trPr>
        <w:tc>
          <w:tcPr>
            <w:tcW w:w="750" w:type="dxa"/>
            <w:vAlign w:val="center"/>
          </w:tcPr>
          <w:p w14:paraId="300467CA">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3</w:t>
            </w:r>
          </w:p>
          <w:p w14:paraId="5F690CBF">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textAlignment w:val="baseline"/>
              <w:rPr>
                <w:rFonts w:hint="eastAsia" w:ascii="仿宋_GB2312" w:hAnsi="仿宋_GB2312" w:eastAsia="仿宋_GB2312" w:cs="仿宋_GB2312"/>
                <w:color w:val="000000"/>
                <w:sz w:val="24"/>
                <w:szCs w:val="24"/>
                <w:highlight w:val="none"/>
                <w:u w:val="none"/>
                <w:lang w:val="en-US" w:eastAsia="zh-CN" w:bidi="ar-SA"/>
              </w:rPr>
            </w:pPr>
          </w:p>
        </w:tc>
        <w:tc>
          <w:tcPr>
            <w:tcW w:w="1747" w:type="dxa"/>
            <w:gridSpan w:val="2"/>
            <w:vAlign w:val="center"/>
          </w:tcPr>
          <w:p w14:paraId="4BADD821">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对建设项目需要配套的环保设施未经验收正式投入生产或使用</w:t>
            </w:r>
            <w:r>
              <w:rPr>
                <w:rFonts w:hint="eastAsia" w:ascii="仿宋_GB2312" w:hAnsi="Calibri" w:cs="宋体"/>
                <w:strike w:val="0"/>
                <w:dstrike w:val="0"/>
                <w:color w:val="auto"/>
                <w:kern w:val="2"/>
                <w:sz w:val="22"/>
                <w:szCs w:val="22"/>
                <w:highlight w:val="lightGray"/>
                <w:u w:val="none"/>
                <w:lang w:val="en-US" w:eastAsia="zh-CN" w:bidi="ar-SA"/>
              </w:rPr>
              <w:t>的处罚</w:t>
            </w:r>
            <w:r>
              <w:rPr>
                <w:rFonts w:ascii="Times New Roman" w:hAnsi="Times New Roman" w:eastAsia="楷体" w:cs="Times New Roman"/>
                <w:sz w:val="22"/>
                <w:szCs w:val="22"/>
              </w:rPr>
              <w:t>】</w:t>
            </w:r>
            <w:r>
              <w:rPr>
                <w:rFonts w:hint="eastAsia" w:ascii="仿宋_GB2312" w:hAnsi="Calibri" w:eastAsia="仿宋_GB2312" w:cs="宋体"/>
                <w:strike w:val="0"/>
                <w:dstrike w:val="0"/>
                <w:color w:val="auto"/>
                <w:kern w:val="2"/>
                <w:sz w:val="22"/>
                <w:szCs w:val="22"/>
                <w:highlight w:val="yellow"/>
                <w:u w:val="none"/>
                <w:lang w:val="en-US" w:eastAsia="zh-CN" w:bidi="ar-SA"/>
              </w:rPr>
              <w:t>对生态环境保护设施未建成、未达到规定要求即投入生产、使用的处罚</w:t>
            </w:r>
          </w:p>
        </w:tc>
        <w:tc>
          <w:tcPr>
            <w:tcW w:w="3957" w:type="dxa"/>
            <w:vAlign w:val="center"/>
          </w:tcPr>
          <w:p w14:paraId="45412A80">
            <w:pPr>
              <w:keepNext w:val="0"/>
              <w:keepLines w:val="0"/>
              <w:pageBreakBefore w:val="0"/>
              <w:widowControl w:val="0"/>
              <w:kinsoku/>
              <w:wordWrap/>
              <w:topLinePunct w:val="0"/>
              <w:bidi w:val="0"/>
              <w:snapToGrid/>
              <w:spacing w:beforeAutospacing="0" w:afterAutospacing="0" w:line="320" w:lineRule="exact"/>
              <w:jc w:val="both"/>
              <w:rPr>
                <w:rFonts w:eastAsia="宋体"/>
                <w:sz w:val="21"/>
                <w:highlight w:val="none"/>
                <w:u w:val="none"/>
                <w:lang w:val="en-US" w:eastAsia="zh-CN"/>
              </w:rPr>
            </w:pPr>
            <w:r>
              <w:rPr>
                <w:rFonts w:hint="eastAsia" w:ascii="仿宋_GB2312" w:eastAsia="仿宋_GB2312" w:cs="宋体"/>
                <w:color w:val="auto"/>
                <w:sz w:val="22"/>
                <w:szCs w:val="22"/>
                <w:highlight w:val="none"/>
                <w:u w:val="none"/>
                <w:lang w:val="en-US" w:eastAsia="zh-CN" w:bidi="ar-SA"/>
              </w:rPr>
              <w:t>建设项目环境影响报告书或报告表已经批准同意，项目运行期间</w:t>
            </w:r>
            <w:r>
              <w:rPr>
                <w:rFonts w:hint="eastAsia" w:ascii="仿宋_GB2312" w:cs="宋体"/>
                <w:color w:val="auto"/>
                <w:sz w:val="22"/>
                <w:szCs w:val="22"/>
                <w:highlight w:val="yellow"/>
                <w:u w:val="none"/>
                <w:lang w:val="en-US" w:eastAsia="zh-CN" w:bidi="ar-SA"/>
              </w:rPr>
              <w:t>生态</w:t>
            </w:r>
            <w:r>
              <w:rPr>
                <w:rFonts w:hint="eastAsia" w:ascii="仿宋_GB2312" w:eastAsia="仿宋_GB2312" w:cs="宋体"/>
                <w:color w:val="auto"/>
                <w:sz w:val="22"/>
                <w:szCs w:val="22"/>
                <w:highlight w:val="none"/>
                <w:u w:val="none"/>
                <w:lang w:val="en-US" w:eastAsia="zh-CN" w:bidi="ar-SA"/>
              </w:rPr>
              <w:t>环境保护设施已按环评批复要求建成，</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违法行为持续时间不超过6个月，</w:t>
            </w:r>
            <w:r>
              <w:rPr>
                <w:rFonts w:ascii="Times New Roman" w:hAnsi="Times New Roman" w:eastAsia="楷体" w:cs="Times New Roman"/>
                <w:sz w:val="22"/>
                <w:szCs w:val="22"/>
                <w:highlight w:val="none"/>
              </w:rPr>
              <w:t>】</w:t>
            </w:r>
            <w:r>
              <w:rPr>
                <w:rFonts w:hint="eastAsia" w:ascii="仿宋_GB2312" w:eastAsia="仿宋_GB2312" w:cs="宋体"/>
                <w:color w:val="auto"/>
                <w:sz w:val="22"/>
                <w:szCs w:val="22"/>
                <w:highlight w:val="none"/>
                <w:u w:val="none"/>
                <w:lang w:val="en-US" w:eastAsia="zh-CN" w:bidi="ar-SA"/>
              </w:rPr>
              <w:t>期间没有</w:t>
            </w:r>
            <w:r>
              <w:rPr>
                <w:rFonts w:hint="eastAsia" w:ascii="仿宋_GB2312" w:cs="宋体"/>
                <w:color w:val="auto"/>
                <w:sz w:val="22"/>
                <w:szCs w:val="22"/>
                <w:highlight w:val="yellow"/>
                <w:u w:val="none"/>
                <w:lang w:val="en-US" w:eastAsia="zh-CN" w:bidi="ar-SA"/>
              </w:rPr>
              <w:t>发现</w:t>
            </w:r>
            <w:r>
              <w:rPr>
                <w:rFonts w:hint="eastAsia" w:ascii="仿宋_GB2312" w:eastAsia="仿宋_GB2312" w:cs="宋体"/>
                <w:color w:val="auto"/>
                <w:sz w:val="22"/>
                <w:szCs w:val="22"/>
                <w:highlight w:val="none"/>
                <w:u w:val="none"/>
                <w:lang w:val="en-US" w:eastAsia="zh-CN" w:bidi="ar-SA"/>
              </w:rPr>
              <w:t>超标或者不正常运行防治污染设施等逃避监管的方式违法排放污染物的行为，直接负责的主管人员或其他责任人员配合调查，在责令改正书下达前主动停止生产，并在责令改正期限内配套环境保护设施经验收合格的。</w:t>
            </w:r>
          </w:p>
        </w:tc>
        <w:tc>
          <w:tcPr>
            <w:tcW w:w="6281" w:type="dxa"/>
            <w:gridSpan w:val="2"/>
            <w:vAlign w:val="center"/>
          </w:tcPr>
          <w:p w14:paraId="2372798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1.</w:t>
            </w: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55D1D61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第一百六十二条　建设项目中的污染防治设施，应当与主体工程同时设计、同时施工、同时投产使用。污染防治设施应当符合经批准的生态环境影响报告书、生态环境影响报告表的要求，不得擅自拆除或者闲置。</w:t>
            </w:r>
          </w:p>
          <w:p w14:paraId="2072E4A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建设项目在投入生产或者使用前，建设单位应当按照国家规定，对配套建设的污染防治设施进行验收。</w:t>
            </w:r>
          </w:p>
          <w:p w14:paraId="18A1F6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14:paraId="75C0425E">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highlight w:val="none"/>
                <w:u w:val="none"/>
                <w:lang w:val="en-US" w:eastAsia="zh-CN" w:bidi="ar-SA"/>
              </w:rPr>
              <w:t>《建设项目环境保护管理条例》（2017年修订）</w:t>
            </w:r>
          </w:p>
          <w:p w14:paraId="13BCC4D8">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第十七条 第一款　编制环境影响报告书、环境影响报告表的建设项目竣工后，建设单位应当按照国务院环境保护行政主管部门规定的标准和程序，对配套建设的环境保护设施进行验收，编制验收报告。</w:t>
            </w:r>
          </w:p>
          <w:p w14:paraId="3B82CB8C">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第十九条　编制环境影响报告书、环境影响报告表的建设项目，其配套建设的环境保护设施经验收合格，方可投入生产或者使用；未经验收或者验收不合格的，不得投入生产或者使用。</w:t>
            </w:r>
          </w:p>
          <w:p w14:paraId="11A3C8A1">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第二十三条 第一款  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p w14:paraId="29A3EBA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dstrike w:val="0"/>
                <w:color w:val="auto"/>
                <w:kern w:val="2"/>
                <w:sz w:val="22"/>
                <w:szCs w:val="22"/>
                <w:highlight w:val="yellow"/>
                <w:u w:val="none"/>
                <w:lang w:val="en-US" w:eastAsia="zh-CN" w:bidi="ar-SA"/>
              </w:rPr>
            </w:pPr>
          </w:p>
        </w:tc>
        <w:tc>
          <w:tcPr>
            <w:tcW w:w="1896" w:type="dxa"/>
            <w:gridSpan w:val="2"/>
            <w:vAlign w:val="center"/>
          </w:tcPr>
          <w:p w14:paraId="507BBC7A">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建设单位与责任人员双免罚</w:t>
            </w:r>
          </w:p>
          <w:p w14:paraId="6E432A73">
            <w:pPr>
              <w:keepNext w:val="0"/>
              <w:keepLines w:val="0"/>
              <w:pageBreakBefore w:val="0"/>
              <w:widowControl w:val="0"/>
              <w:kinsoku/>
              <w:wordWrap/>
              <w:topLinePunct w:val="0"/>
              <w:bidi w:val="0"/>
              <w:snapToGrid/>
              <w:spacing w:beforeAutospacing="0" w:afterAutospacing="0" w:line="320" w:lineRule="exact"/>
              <w:jc w:val="both"/>
              <w:rPr>
                <w:rFonts w:hint="eastAsia" w:ascii="仿宋_GB2312" w:hAnsi="Times New Roman" w:eastAsia="仿宋_GB2312" w:cs="宋体"/>
                <w:color w:val="auto"/>
                <w:kern w:val="2"/>
                <w:sz w:val="22"/>
                <w:szCs w:val="22"/>
                <w:highlight w:val="none"/>
                <w:u w:val="none"/>
                <w:lang w:val="en-US" w:eastAsia="zh-CN" w:bidi="ar-SA"/>
              </w:rPr>
            </w:pPr>
          </w:p>
          <w:p w14:paraId="45010732">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hAnsi="Times New Roman" w:eastAsia="仿宋_GB2312" w:cs="宋体"/>
                <w:color w:val="auto"/>
                <w:kern w:val="2"/>
                <w:sz w:val="22"/>
                <w:szCs w:val="22"/>
                <w:highlight w:val="none"/>
                <w:u w:val="none"/>
                <w:lang w:val="en-US" w:eastAsia="zh-CN" w:bidi="ar-SA"/>
              </w:rPr>
              <w:t>后续衔接《 建设项目环境保护管理条例》修改</w:t>
            </w:r>
          </w:p>
          <w:p w14:paraId="415D31C7">
            <w:pPr>
              <w:pStyle w:val="2"/>
              <w:ind w:left="0" w:firstLine="0"/>
              <w:rPr>
                <w:rFonts w:hint="eastAsia"/>
              </w:rPr>
            </w:pPr>
          </w:p>
        </w:tc>
      </w:tr>
      <w:tr w14:paraId="153CF1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18" w:hRule="atLeast"/>
        </w:trPr>
        <w:tc>
          <w:tcPr>
            <w:tcW w:w="750" w:type="dxa"/>
            <w:vAlign w:val="center"/>
          </w:tcPr>
          <w:p w14:paraId="5152F197">
            <w:pPr>
              <w:keepNext w:val="0"/>
              <w:keepLines w:val="0"/>
              <w:pageBreakBefore w:val="0"/>
              <w:widowControl w:val="0"/>
              <w:kinsoku/>
              <w:wordWrap/>
              <w:topLinePunct w:val="0"/>
              <w:bidi w:val="0"/>
              <w:snapToGrid/>
              <w:spacing w:beforeAutospacing="0" w:afterAutospacing="0" w:line="320" w:lineRule="exact"/>
              <w:ind w:firstLine="220" w:firstLineChars="1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4</w:t>
            </w:r>
          </w:p>
          <w:p w14:paraId="096DC237">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rPr>
                <w:highlight w:val="none"/>
                <w:u w:val="none"/>
                <w:lang w:val="en-US" w:eastAsia="zh-CN"/>
              </w:rPr>
            </w:pPr>
          </w:p>
        </w:tc>
        <w:tc>
          <w:tcPr>
            <w:tcW w:w="1747" w:type="dxa"/>
            <w:gridSpan w:val="2"/>
            <w:vAlign w:val="center"/>
          </w:tcPr>
          <w:p w14:paraId="1077E20B">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对建设单位未将环境保护设施建设纳入施工合同的处罚</w:t>
            </w:r>
          </w:p>
        </w:tc>
        <w:tc>
          <w:tcPr>
            <w:tcW w:w="3957" w:type="dxa"/>
            <w:vAlign w:val="center"/>
          </w:tcPr>
          <w:p w14:paraId="309E3E13">
            <w:pPr>
              <w:keepNext w:val="0"/>
              <w:keepLines w:val="0"/>
              <w:pageBreakBefore w:val="0"/>
              <w:widowControl w:val="0"/>
              <w:kinsoku/>
              <w:wordWrap/>
              <w:topLinePunct w:val="0"/>
              <w:bidi w:val="0"/>
              <w:snapToGrid/>
              <w:spacing w:beforeAutospacing="0" w:afterAutospacing="0" w:line="320" w:lineRule="exact"/>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建设项目尚处于</w:t>
            </w:r>
            <w:r>
              <w:rPr>
                <w:rFonts w:ascii="Times New Roman" w:hAnsi="Times New Roman" w:eastAsia="楷体" w:cs="Times New Roman"/>
                <w:sz w:val="22"/>
                <w:szCs w:val="22"/>
                <w:highlight w:val="none"/>
              </w:rPr>
              <w:t>【</w:t>
            </w:r>
            <w:r>
              <w:rPr>
                <w:rFonts w:hint="eastAsia" w:ascii="仿宋_GB2312" w:eastAsia="仿宋_GB2312" w:cs="宋体"/>
                <w:color w:val="auto"/>
                <w:sz w:val="22"/>
                <w:szCs w:val="22"/>
                <w:highlight w:val="lightGray"/>
                <w:u w:val="none"/>
                <w:lang w:bidi="ar-SA"/>
              </w:rPr>
              <w:t>初步设计阶段</w:t>
            </w:r>
            <w:r>
              <w:rPr>
                <w:rFonts w:ascii="Times New Roman" w:hAnsi="Times New Roman" w:eastAsia="楷体" w:cs="Times New Roman"/>
                <w:sz w:val="22"/>
                <w:szCs w:val="22"/>
              </w:rPr>
              <w:t>】</w:t>
            </w:r>
            <w:r>
              <w:rPr>
                <w:rFonts w:hint="eastAsia" w:ascii="仿宋_GB2312" w:eastAsia="仿宋_GB2312" w:cs="宋体"/>
                <w:b w:val="0"/>
                <w:color w:val="auto"/>
                <w:sz w:val="22"/>
                <w:szCs w:val="22"/>
                <w:highlight w:val="yellow"/>
                <w:u w:val="none"/>
                <w:lang w:eastAsia="zh-CN" w:bidi="ar-SA"/>
              </w:rPr>
              <w:t>施工阶段，尚未投产</w:t>
            </w:r>
            <w:r>
              <w:rPr>
                <w:rFonts w:hint="eastAsia" w:ascii="仿宋_GB2312" w:cs="宋体"/>
                <w:b w:val="0"/>
                <w:color w:val="auto"/>
                <w:sz w:val="22"/>
                <w:szCs w:val="22"/>
                <w:highlight w:val="yellow"/>
                <w:u w:val="none"/>
                <w:lang w:eastAsia="zh-CN" w:bidi="ar-SA"/>
              </w:rPr>
              <w:t>，</w:t>
            </w:r>
            <w:r>
              <w:rPr>
                <w:rFonts w:hint="eastAsia" w:ascii="仿宋_GB2312" w:eastAsia="仿宋_GB2312" w:cs="宋体"/>
                <w:color w:val="auto"/>
                <w:sz w:val="22"/>
                <w:szCs w:val="22"/>
                <w:highlight w:val="none"/>
                <w:u w:val="none"/>
                <w:lang w:val="en-US" w:eastAsia="zh-CN" w:bidi="ar-SA"/>
              </w:rPr>
              <w:t>并</w:t>
            </w:r>
            <w:r>
              <w:rPr>
                <w:rFonts w:hint="eastAsia" w:ascii="仿宋_GB2312" w:eastAsia="仿宋_GB2312" w:cs="宋体"/>
                <w:b w:val="0"/>
                <w:color w:val="auto"/>
                <w:sz w:val="22"/>
                <w:szCs w:val="22"/>
                <w:highlight w:val="none"/>
                <w:u w:val="none"/>
                <w:lang w:val="en-US" w:eastAsia="zh-CN" w:bidi="ar-SA"/>
              </w:rPr>
              <w:t>在</w:t>
            </w:r>
            <w:r>
              <w:rPr>
                <w:rFonts w:ascii="Times New Roman" w:hAnsi="Times New Roman" w:eastAsia="楷体" w:cs="Times New Roman"/>
                <w:sz w:val="22"/>
                <w:szCs w:val="22"/>
                <w:highlight w:val="none"/>
              </w:rPr>
              <w:t>【</w:t>
            </w:r>
            <w:r>
              <w:rPr>
                <w:rFonts w:hint="eastAsia" w:ascii="仿宋_GB2312" w:eastAsia="仿宋_GB2312" w:cs="宋体"/>
                <w:color w:val="auto"/>
                <w:sz w:val="22"/>
                <w:szCs w:val="22"/>
                <w:highlight w:val="lightGray"/>
                <w:u w:val="none"/>
                <w:lang w:val="en-US" w:eastAsia="zh-CN" w:bidi="ar-SA"/>
              </w:rPr>
              <w:t>5个工作日</w:t>
            </w:r>
            <w:r>
              <w:rPr>
                <w:rFonts w:ascii="Times New Roman" w:hAnsi="Times New Roman" w:eastAsia="楷体" w:cs="Times New Roman"/>
                <w:sz w:val="22"/>
                <w:szCs w:val="22"/>
              </w:rPr>
              <w:t>】</w:t>
            </w:r>
            <w:r>
              <w:rPr>
                <w:rFonts w:hint="eastAsia" w:ascii="仿宋_GB2312" w:eastAsia="仿宋_GB2312" w:cs="宋体"/>
                <w:b w:val="0"/>
                <w:color w:val="auto"/>
                <w:sz w:val="22"/>
                <w:szCs w:val="22"/>
                <w:highlight w:val="yellow"/>
                <w:u w:val="none"/>
                <w:lang w:eastAsia="zh-CN" w:bidi="ar-SA"/>
              </w:rPr>
              <w:t>责令改正期限</w:t>
            </w:r>
            <w:r>
              <w:rPr>
                <w:rFonts w:hint="eastAsia" w:ascii="仿宋_GB2312" w:eastAsia="仿宋_GB2312" w:cs="宋体"/>
                <w:b w:val="0"/>
                <w:color w:val="auto"/>
                <w:sz w:val="22"/>
                <w:szCs w:val="22"/>
                <w:highlight w:val="yellow"/>
                <w:u w:val="none"/>
                <w:lang w:val="en-US" w:eastAsia="zh-CN" w:bidi="ar-SA"/>
              </w:rPr>
              <w:t>内</w:t>
            </w:r>
            <w:r>
              <w:rPr>
                <w:rFonts w:hint="eastAsia" w:ascii="仿宋_GB2312" w:eastAsia="仿宋_GB2312" w:cs="宋体"/>
                <w:b w:val="0"/>
                <w:color w:val="auto"/>
                <w:sz w:val="22"/>
                <w:szCs w:val="22"/>
                <w:highlight w:val="none"/>
                <w:u w:val="none"/>
                <w:lang w:val="en-US" w:eastAsia="zh-CN" w:bidi="ar-SA"/>
              </w:rPr>
              <w:t>改正的</w:t>
            </w:r>
            <w:r>
              <w:rPr>
                <w:rFonts w:hint="eastAsia" w:ascii="仿宋_GB2312" w:eastAsia="仿宋_GB2312" w:cs="宋体"/>
                <w:b w:val="0"/>
                <w:color w:val="auto"/>
                <w:sz w:val="22"/>
                <w:szCs w:val="22"/>
                <w:highlight w:val="none"/>
                <w:u w:val="none"/>
                <w:lang w:bidi="ar-SA"/>
              </w:rPr>
              <w:t>。</w:t>
            </w:r>
          </w:p>
        </w:tc>
        <w:tc>
          <w:tcPr>
            <w:tcW w:w="6281" w:type="dxa"/>
            <w:gridSpan w:val="2"/>
            <w:vAlign w:val="center"/>
          </w:tcPr>
          <w:p w14:paraId="30E4B21C">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《建设项目环境保护管理条例》（2017修订）</w:t>
            </w:r>
          </w:p>
          <w:p w14:paraId="104DFEB8">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第十六条</w:t>
            </w:r>
            <w:r>
              <w:rPr>
                <w:rFonts w:hint="eastAsia" w:ascii="仿宋_GB2312" w:eastAsia="仿宋_GB2312" w:cs="宋体"/>
                <w:color w:val="auto"/>
                <w:sz w:val="22"/>
                <w:szCs w:val="22"/>
                <w:highlight w:val="none"/>
                <w:u w:val="none"/>
                <w:lang w:val="en-US" w:eastAsia="zh-CN" w:bidi="ar-SA"/>
              </w:rPr>
              <w:t xml:space="preserve"> 第二款</w:t>
            </w:r>
            <w:r>
              <w:rPr>
                <w:rFonts w:hint="eastAsia" w:ascii="仿宋_GB2312" w:eastAsia="仿宋_GB2312" w:cs="宋体"/>
                <w:color w:val="auto"/>
                <w:sz w:val="22"/>
                <w:szCs w:val="22"/>
                <w:highlight w:val="none"/>
                <w:u w:val="none"/>
                <w:lang w:bidi="ar-SA"/>
              </w:rPr>
              <w:t xml:space="preserve">  建设单位应当将环境保护设施建设纳入施工合同，保证环境保护设施建设进度和资金，并在项目建设过程中同时组织实施环境影响报告书、环境影响报告表及其审批部门审批决定中提出的环境保护对策措施。</w:t>
            </w:r>
          </w:p>
          <w:p w14:paraId="666A0F91">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第二十二条</w:t>
            </w:r>
            <w:r>
              <w:rPr>
                <w:rFonts w:hint="eastAsia" w:ascii="仿宋_GB2312" w:eastAsia="仿宋_GB2312" w:cs="宋体"/>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bidi="ar-SA"/>
              </w:rPr>
              <w:t xml:space="preserve">第一款 </w:t>
            </w:r>
            <w:r>
              <w:rPr>
                <w:rFonts w:hint="eastAsia" w:ascii="仿宋_GB2312" w:eastAsia="仿宋_GB2312" w:cs="宋体"/>
                <w:color w:val="auto"/>
                <w:sz w:val="22"/>
                <w:szCs w:val="22"/>
                <w:highlight w:val="none"/>
                <w:u w:val="none"/>
                <w:lang w:val="en-US" w:bidi="ar-SA"/>
              </w:rPr>
              <w:t xml:space="preserve"> </w:t>
            </w:r>
            <w:r>
              <w:rPr>
                <w:rFonts w:hint="eastAsia" w:ascii="仿宋_GB2312" w:eastAsia="仿宋_GB2312" w:cs="宋体"/>
                <w:color w:val="auto"/>
                <w:sz w:val="22"/>
                <w:szCs w:val="22"/>
                <w:highlight w:val="none"/>
                <w:u w:val="none"/>
                <w:lang w:bidi="ar-SA"/>
              </w:rPr>
              <w:t>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c>
          <w:tcPr>
            <w:tcW w:w="1896" w:type="dxa"/>
            <w:gridSpan w:val="2"/>
            <w:vAlign w:val="center"/>
          </w:tcPr>
          <w:p w14:paraId="3404B2DD">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cs="宋体"/>
                <w:color w:val="auto"/>
                <w:kern w:val="2"/>
                <w:sz w:val="22"/>
                <w:szCs w:val="21"/>
                <w:highlight w:val="yellow"/>
                <w:u w:val="none"/>
                <w:lang w:val="en-US" w:eastAsia="zh-CN" w:bidi="ar-SA"/>
              </w:rPr>
              <w:t>后续衔接《建设项目环境保护管理条例》修改</w:t>
            </w:r>
          </w:p>
        </w:tc>
      </w:tr>
      <w:tr w14:paraId="4972FA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18" w:hRule="atLeast"/>
        </w:trPr>
        <w:tc>
          <w:tcPr>
            <w:tcW w:w="750" w:type="dxa"/>
            <w:vAlign w:val="center"/>
          </w:tcPr>
          <w:p w14:paraId="0B1DA2E2">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5</w:t>
            </w:r>
          </w:p>
          <w:p w14:paraId="3BA370A7">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c>
          <w:tcPr>
            <w:tcW w:w="1747" w:type="dxa"/>
            <w:gridSpan w:val="2"/>
            <w:vAlign w:val="center"/>
          </w:tcPr>
          <w:p w14:paraId="7A3610EA">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对建设单位未依法向社会公开环境保护设施验收报告的处罚</w:t>
            </w:r>
          </w:p>
        </w:tc>
        <w:tc>
          <w:tcPr>
            <w:tcW w:w="3957" w:type="dxa"/>
            <w:vAlign w:val="center"/>
          </w:tcPr>
          <w:p w14:paraId="71439233">
            <w:pPr>
              <w:keepNext w:val="0"/>
              <w:keepLines w:val="0"/>
              <w:pageBreakBefore w:val="0"/>
              <w:widowControl w:val="0"/>
              <w:kinsoku/>
              <w:wordWrap/>
              <w:topLinePunct w:val="0"/>
              <w:bidi w:val="0"/>
              <w:snapToGrid/>
              <w:spacing w:beforeAutospacing="0" w:afterAutospacing="0" w:line="320" w:lineRule="exact"/>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建设项目环境保护设施已经验收合格，但其验收报告未依法公开的违法行为持续时间不超过3个月，并在5个工作日内改正的。</w:t>
            </w:r>
          </w:p>
        </w:tc>
        <w:tc>
          <w:tcPr>
            <w:tcW w:w="6281" w:type="dxa"/>
            <w:gridSpan w:val="2"/>
            <w:vAlign w:val="center"/>
          </w:tcPr>
          <w:p w14:paraId="578D245F">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color w:val="auto"/>
                <w:sz w:val="22"/>
                <w:szCs w:val="22"/>
                <w:highlight w:val="lightGray"/>
                <w:u w:val="none"/>
                <w:lang w:val="en-US" w:eastAsia="zh-CN" w:bidi="ar-SA"/>
              </w:rPr>
              <w:t>1.</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《建设项目环境保护管理条例》（2017年修订）</w:t>
            </w:r>
          </w:p>
          <w:p w14:paraId="0B40817F">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val="en-US" w:eastAsia="zh-CN" w:bidi="ar-SA"/>
              </w:rPr>
              <w:t xml:space="preserve">第十七条 第三款  </w:t>
            </w:r>
            <w:r>
              <w:rPr>
                <w:rFonts w:hint="eastAsia" w:ascii="仿宋_GB2312" w:eastAsia="仿宋_GB2312" w:cs="宋体"/>
                <w:color w:val="auto"/>
                <w:sz w:val="22"/>
                <w:szCs w:val="22"/>
                <w:highlight w:val="none"/>
                <w:u w:val="none"/>
                <w:lang w:bidi="ar-SA"/>
              </w:rPr>
              <w:t>除按照国家规定需要保密的情形外，建设单位应当依法向社会公开验收报告。</w:t>
            </w:r>
          </w:p>
          <w:p w14:paraId="2F60B4A2">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 xml:space="preserve">第二十三条 第二款  </w:t>
            </w:r>
            <w:r>
              <w:rPr>
                <w:rFonts w:hint="eastAsia" w:ascii="仿宋_GB2312" w:eastAsia="仿宋_GB2312" w:cs="宋体"/>
                <w:color w:val="auto"/>
                <w:sz w:val="22"/>
                <w:szCs w:val="22"/>
                <w:highlight w:val="none"/>
                <w:u w:val="none"/>
                <w:lang w:bidi="ar-SA"/>
              </w:rPr>
              <w:t>违反本条例规定，建设单位未依法向社会公开环境保护设施验收报告的，由县级以上环境保护行政主管部门责令公开，处5万元以上20万元以下的罚款，并予以公告。</w:t>
            </w:r>
          </w:p>
        </w:tc>
        <w:tc>
          <w:tcPr>
            <w:tcW w:w="1896" w:type="dxa"/>
            <w:gridSpan w:val="2"/>
            <w:vAlign w:val="center"/>
          </w:tcPr>
          <w:p w14:paraId="1750D8BD">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cs="宋体"/>
                <w:color w:val="auto"/>
                <w:kern w:val="2"/>
                <w:sz w:val="22"/>
                <w:szCs w:val="21"/>
                <w:highlight w:val="yellow"/>
                <w:u w:val="none"/>
                <w:lang w:val="en-US" w:eastAsia="zh-CN" w:bidi="ar-SA"/>
              </w:rPr>
              <w:t>后续衔接《建设项目环境保护管理条例》修改</w:t>
            </w:r>
          </w:p>
        </w:tc>
      </w:tr>
      <w:tr w14:paraId="3CB836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750" w:type="dxa"/>
            <w:vAlign w:val="center"/>
          </w:tcPr>
          <w:p w14:paraId="26E38CB8">
            <w:pPr>
              <w:keepNext w:val="0"/>
              <w:keepLines w:val="0"/>
              <w:pageBreakBefore w:val="0"/>
              <w:widowControl w:val="0"/>
              <w:kinsoku/>
              <w:wordWrap/>
              <w:topLinePunct w:val="0"/>
              <w:bidi w:val="0"/>
              <w:snapToGrid/>
              <w:spacing w:beforeAutospacing="0" w:afterAutospacing="0" w:line="320" w:lineRule="exact"/>
              <w:ind w:firstLine="220" w:firstLineChars="100"/>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6</w:t>
            </w:r>
          </w:p>
        </w:tc>
        <w:tc>
          <w:tcPr>
            <w:tcW w:w="1747" w:type="dxa"/>
            <w:gridSpan w:val="2"/>
            <w:vAlign w:val="center"/>
          </w:tcPr>
          <w:p w14:paraId="4E741447">
            <w:pPr>
              <w:keepNext w:val="0"/>
              <w:keepLines w:val="0"/>
              <w:pageBreakBefore w:val="0"/>
              <w:widowControl w:val="0"/>
              <w:kinsoku/>
              <w:wordWrap/>
              <w:topLinePunct w:val="0"/>
              <w:bidi w:val="0"/>
              <w:snapToGrid/>
              <w:spacing w:beforeAutospacing="0" w:afterAutospacing="0" w:line="320" w:lineRule="exact"/>
              <w:rPr>
                <w:rFonts w:hint="eastAsia" w:ascii="仿宋_GB2312" w:eastAsia="仿宋_GB2312" w:cs="宋体"/>
                <w:color w:val="auto"/>
                <w:sz w:val="22"/>
                <w:szCs w:val="22"/>
                <w:highlight w:val="none"/>
                <w:u w:val="none"/>
                <w:lang w:eastAsia="zh-CN" w:bidi="ar-SA"/>
              </w:rPr>
            </w:pPr>
            <w:r>
              <w:rPr>
                <w:rFonts w:hint="eastAsia" w:ascii="仿宋_GB2312" w:eastAsia="仿宋_GB2312" w:cs="宋体"/>
                <w:color w:val="auto"/>
                <w:sz w:val="22"/>
                <w:szCs w:val="22"/>
                <w:highlight w:val="none"/>
                <w:u w:val="none"/>
                <w:lang w:val="en-US" w:eastAsia="zh-CN" w:bidi="ar-SA"/>
              </w:rPr>
              <w:t>对未</w:t>
            </w:r>
            <w:r>
              <w:rPr>
                <w:rFonts w:hint="eastAsia" w:ascii="仿宋_GB2312" w:cs="宋体"/>
                <w:color w:val="auto"/>
                <w:sz w:val="22"/>
                <w:szCs w:val="22"/>
                <w:highlight w:val="yellow"/>
                <w:u w:val="none"/>
                <w:lang w:val="en-US" w:eastAsia="zh-CN" w:bidi="ar-SA"/>
              </w:rPr>
              <w:t>依法</w:t>
            </w:r>
            <w:r>
              <w:rPr>
                <w:rFonts w:hint="eastAsia" w:ascii="仿宋_GB2312" w:eastAsia="仿宋_GB2312" w:cs="宋体"/>
                <w:color w:val="auto"/>
                <w:sz w:val="22"/>
                <w:szCs w:val="22"/>
                <w:highlight w:val="none"/>
                <w:u w:val="none"/>
                <w:lang w:val="en-US" w:eastAsia="zh-CN" w:bidi="ar-SA"/>
              </w:rPr>
              <w:t>填报排污信息的处罚</w:t>
            </w:r>
          </w:p>
        </w:tc>
        <w:tc>
          <w:tcPr>
            <w:tcW w:w="3957" w:type="dxa"/>
            <w:vAlign w:val="center"/>
          </w:tcPr>
          <w:p w14:paraId="3EE2B9B0">
            <w:pPr>
              <w:keepNext w:val="0"/>
              <w:keepLines w:val="0"/>
              <w:pageBreakBefore w:val="0"/>
              <w:widowControl w:val="0"/>
              <w:kinsoku/>
              <w:wordWrap/>
              <w:topLinePunct w:val="0"/>
              <w:bidi w:val="0"/>
              <w:snapToGrid/>
              <w:spacing w:beforeAutospacing="0" w:afterAutospacing="0" w:line="320" w:lineRule="exact"/>
              <w:rPr>
                <w:rFonts w:hint="eastAsia" w:ascii="仿宋_GB2312" w:eastAsia="仿宋_GB2312" w:cs="宋体"/>
                <w:color w:val="auto"/>
                <w:sz w:val="22"/>
                <w:szCs w:val="22"/>
                <w:highlight w:val="none"/>
                <w:u w:val="none"/>
                <w:lang w:eastAsia="zh-CN" w:bidi="ar-SA"/>
              </w:rPr>
            </w:pPr>
            <w:r>
              <w:rPr>
                <w:rFonts w:hint="eastAsia" w:ascii="仿宋_GB2312" w:eastAsia="仿宋_GB2312" w:cs="宋体"/>
                <w:color w:val="auto"/>
                <w:sz w:val="22"/>
                <w:szCs w:val="22"/>
                <w:highlight w:val="none"/>
                <w:u w:val="none"/>
                <w:lang w:val="en-US" w:eastAsia="zh-CN" w:bidi="ar-SA"/>
              </w:rPr>
              <w:t>需要填报排污登记表的排污单位，在责令改正书下达前，主动</w:t>
            </w:r>
            <w:r>
              <w:rPr>
                <w:rFonts w:ascii="Times New Roman" w:hAnsi="Times New Roman" w:eastAsia="楷体" w:cs="Times New Roman"/>
                <w:sz w:val="22"/>
                <w:szCs w:val="22"/>
                <w:highlight w:val="none"/>
              </w:rPr>
              <w:t>【</w:t>
            </w:r>
            <w:r>
              <w:rPr>
                <w:rFonts w:hint="eastAsia" w:ascii="仿宋_GB2312" w:eastAsia="仿宋_GB2312" w:cs="宋体"/>
                <w:color w:val="auto"/>
                <w:sz w:val="22"/>
                <w:szCs w:val="22"/>
                <w:highlight w:val="lightGray"/>
                <w:u w:val="none"/>
                <w:lang w:val="en-US" w:eastAsia="zh-CN" w:bidi="ar-SA"/>
              </w:rPr>
              <w:t>停止建设或者</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停止生产，并在5个工作日内按规定完成填报的；或者在责令改正书下达前，主动实施关停的。</w:t>
            </w:r>
          </w:p>
        </w:tc>
        <w:tc>
          <w:tcPr>
            <w:tcW w:w="6281" w:type="dxa"/>
            <w:gridSpan w:val="2"/>
            <w:vAlign w:val="center"/>
          </w:tcPr>
          <w:p w14:paraId="7EA2290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07A3655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Times New Roman" w:eastAsia="仿宋_GB2312" w:cs="宋体"/>
                <w:color w:val="auto"/>
                <w:kern w:val="2"/>
                <w:sz w:val="22"/>
                <w:szCs w:val="22"/>
                <w:highlight w:val="none"/>
                <w:u w:val="none"/>
                <w:lang w:val="en-US" w:eastAsia="zh-CN" w:bidi="ar-SA"/>
              </w:rPr>
            </w:pPr>
            <w:r>
              <w:rPr>
                <w:rFonts w:hint="eastAsia" w:ascii="仿宋_GB2312" w:hAnsi="Times New Roman" w:eastAsia="仿宋_GB2312" w:cs="宋体"/>
                <w:color w:val="auto"/>
                <w:kern w:val="2"/>
                <w:sz w:val="22"/>
                <w:szCs w:val="22"/>
                <w:highlight w:val="yellow"/>
                <w:u w:val="none"/>
                <w:lang w:val="en-US" w:eastAsia="zh-CN" w:bidi="ar-SA"/>
              </w:rPr>
              <w:t>第一百八十六条第一款　污染物产生量、排放量和对生态环境的影响程度都很小的企业事业单位和其他生产经营者，应当填报排污登记表，不实行排污许可管理。排污登记表有效期为五年。</w:t>
            </w:r>
          </w:p>
          <w:p w14:paraId="1E32588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Times New Roman" w:eastAsia="仿宋_GB2312" w:cs="宋体"/>
                <w:color w:val="auto"/>
                <w:kern w:val="2"/>
                <w:sz w:val="22"/>
                <w:szCs w:val="22"/>
                <w:highlight w:val="yellow"/>
                <w:u w:val="none"/>
                <w:lang w:val="en-US" w:eastAsia="zh-CN" w:bidi="ar-SA"/>
              </w:rPr>
            </w:pPr>
            <w:r>
              <w:rPr>
                <w:rFonts w:hint="eastAsia" w:ascii="仿宋_GB2312" w:hAnsi="Times New Roman" w:eastAsia="仿宋_GB2312" w:cs="宋体"/>
                <w:color w:val="auto"/>
                <w:kern w:val="2"/>
                <w:sz w:val="22"/>
                <w:szCs w:val="22"/>
                <w:highlight w:val="yellow"/>
                <w:u w:val="none"/>
                <w:lang w:val="en-US" w:eastAsia="zh-CN" w:bidi="ar-SA"/>
              </w:rPr>
              <w:t>第一千一百零六条　违反本法规定，需要填报排污登记表的企业事业单位和其他生产经营者未依法填报排污信息的，由生态环境主管部门责令改正，可以处五万元以下的罚款。</w:t>
            </w:r>
          </w:p>
          <w:p w14:paraId="5EAB22D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1.《排污许可管理条例》（国务院令第736号）</w:t>
            </w:r>
          </w:p>
          <w:p w14:paraId="099A4F3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第四十三条　需要填报排污登记表的企业事业单位和其他生产经营者，未依照本条例规定填报排污信息的，由生态环境主管部门责令改正，可以处5万元以下的罚款。</w:t>
            </w:r>
            <w:r>
              <w:rPr>
                <w:rFonts w:ascii="Times New Roman" w:hAnsi="Times New Roman" w:eastAsia="楷体" w:cs="Times New Roman"/>
                <w:sz w:val="22"/>
                <w:szCs w:val="22"/>
              </w:rPr>
              <w:t>】</w:t>
            </w:r>
          </w:p>
          <w:p w14:paraId="17551A2E">
            <w:pPr>
              <w:pStyle w:val="2"/>
              <w:ind w:left="0" w:firstLine="480" w:firstLineChars="200"/>
              <w:rPr>
                <w:rFonts w:hint="eastAsia"/>
                <w:lang w:eastAsia="zh-CN"/>
              </w:rPr>
            </w:pPr>
          </w:p>
        </w:tc>
        <w:tc>
          <w:tcPr>
            <w:tcW w:w="1896" w:type="dxa"/>
            <w:gridSpan w:val="2"/>
            <w:vAlign w:val="center"/>
          </w:tcPr>
          <w:p w14:paraId="4FB89244">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59B91F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10" w:hRule="atLeast"/>
        </w:trPr>
        <w:tc>
          <w:tcPr>
            <w:tcW w:w="750" w:type="dxa"/>
            <w:vAlign w:val="center"/>
          </w:tcPr>
          <w:p w14:paraId="554E4064">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7</w:t>
            </w:r>
          </w:p>
          <w:p w14:paraId="2804CF4D">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rPr>
                <w:rFonts w:hint="eastAsia" w:ascii="仿宋_GB2312" w:eastAsia="仿宋_GB2312" w:cs="宋体"/>
                <w:color w:val="auto"/>
                <w:sz w:val="22"/>
                <w:szCs w:val="22"/>
                <w:highlight w:val="none"/>
                <w:u w:val="none"/>
                <w:shd w:val="clear" w:color="FFFFFF" w:fill="D9D9D9"/>
                <w:lang w:val="en-US" w:eastAsia="zh-CN" w:bidi="ar-SA"/>
              </w:rPr>
            </w:pPr>
          </w:p>
        </w:tc>
        <w:tc>
          <w:tcPr>
            <w:tcW w:w="1747" w:type="dxa"/>
            <w:gridSpan w:val="2"/>
            <w:vAlign w:val="center"/>
          </w:tcPr>
          <w:p w14:paraId="7F9F99C2">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对未重新申请排污许可证的处罚</w:t>
            </w:r>
          </w:p>
        </w:tc>
        <w:tc>
          <w:tcPr>
            <w:tcW w:w="3957" w:type="dxa"/>
            <w:vAlign w:val="center"/>
          </w:tcPr>
          <w:p w14:paraId="046D63B7">
            <w:pPr>
              <w:keepNext w:val="0"/>
              <w:keepLines w:val="0"/>
              <w:pageBreakBefore w:val="0"/>
              <w:widowControl w:val="0"/>
              <w:kinsoku/>
              <w:wordWrap/>
              <w:topLinePunct w:val="0"/>
              <w:bidi w:val="0"/>
              <w:snapToGrid/>
              <w:spacing w:beforeAutospacing="0" w:afterAutospacing="0" w:line="320" w:lineRule="exact"/>
              <w:rPr>
                <w:rFonts w:hint="eastAsia" w:ascii="仿宋_GB2312" w:eastAsia="仿宋_GB2312" w:cs="宋体"/>
                <w:color w:val="auto"/>
                <w:sz w:val="22"/>
                <w:szCs w:val="22"/>
                <w:highlight w:val="none"/>
                <w:u w:val="none"/>
                <w:lang w:eastAsia="zh-CN" w:bidi="ar-SA"/>
              </w:rPr>
            </w:pPr>
            <w:r>
              <w:rPr>
                <w:rFonts w:hint="eastAsia" w:ascii="仿宋_GB2312" w:eastAsia="仿宋_GB2312" w:cs="宋体"/>
                <w:color w:val="auto"/>
                <w:sz w:val="22"/>
                <w:szCs w:val="22"/>
                <w:highlight w:val="none"/>
                <w:u w:val="none"/>
                <w:lang w:bidi="ar-SA"/>
              </w:rPr>
              <w:t>环境保护设施升级改造项目建成后</w:t>
            </w:r>
            <w:r>
              <w:rPr>
                <w:rFonts w:hint="eastAsia" w:ascii="仿宋_GB2312" w:eastAsia="仿宋_GB2312" w:cs="宋体"/>
                <w:color w:val="auto"/>
                <w:sz w:val="22"/>
                <w:szCs w:val="22"/>
                <w:highlight w:val="none"/>
                <w:u w:val="none"/>
                <w:lang w:eastAsia="zh-CN" w:bidi="ar-SA"/>
              </w:rPr>
              <w:t>，</w:t>
            </w:r>
            <w:r>
              <w:rPr>
                <w:rFonts w:hint="eastAsia" w:ascii="仿宋_GB2312" w:eastAsia="仿宋_GB2312" w:cs="宋体"/>
                <w:color w:val="auto"/>
                <w:sz w:val="22"/>
                <w:szCs w:val="22"/>
                <w:highlight w:val="none"/>
                <w:u w:val="none"/>
                <w:lang w:bidi="ar-SA"/>
              </w:rPr>
              <w:t>未重新申请排污许可证</w:t>
            </w:r>
            <w:r>
              <w:rPr>
                <w:rFonts w:hint="eastAsia" w:ascii="仿宋_GB2312" w:eastAsia="仿宋_GB2312" w:cs="宋体"/>
                <w:color w:val="auto"/>
                <w:sz w:val="22"/>
                <w:szCs w:val="22"/>
                <w:highlight w:val="none"/>
                <w:u w:val="none"/>
                <w:lang w:eastAsia="zh-CN" w:bidi="ar-SA"/>
              </w:rPr>
              <w:t>，</w:t>
            </w:r>
            <w:r>
              <w:rPr>
                <w:rFonts w:hint="eastAsia" w:ascii="仿宋_GB2312" w:hAnsi="Calibri" w:eastAsia="仿宋_GB2312" w:cs="宋体"/>
                <w:b w:val="0"/>
                <w:color w:val="auto"/>
                <w:kern w:val="2"/>
                <w:sz w:val="22"/>
                <w:szCs w:val="22"/>
                <w:highlight w:val="none"/>
                <w:u w:val="none"/>
                <w:lang w:val="en-US" w:eastAsia="zh-CN" w:bidi="ar-SA"/>
              </w:rPr>
              <w:t>未造成</w:t>
            </w:r>
            <w:r>
              <w:rPr>
                <w:rFonts w:hint="eastAsia" w:ascii="仿宋_GB2312" w:eastAsia="仿宋_GB2312" w:cs="宋体"/>
                <w:b w:val="0"/>
                <w:color w:val="auto"/>
                <w:kern w:val="2"/>
                <w:sz w:val="22"/>
                <w:szCs w:val="22"/>
                <w:highlight w:val="none"/>
                <w:u w:val="none"/>
                <w:lang w:val="en-US" w:eastAsia="zh-CN" w:bidi="ar-SA"/>
              </w:rPr>
              <w:t>其他</w:t>
            </w:r>
            <w:r>
              <w:rPr>
                <w:rFonts w:hint="eastAsia" w:ascii="仿宋_GB2312" w:hAnsi="Calibri" w:eastAsia="仿宋_GB2312" w:cs="宋体"/>
                <w:b w:val="0"/>
                <w:color w:val="auto"/>
                <w:kern w:val="2"/>
                <w:sz w:val="22"/>
                <w:szCs w:val="22"/>
                <w:highlight w:val="none"/>
                <w:u w:val="none"/>
                <w:lang w:val="en-US" w:eastAsia="zh-CN" w:bidi="ar-SA"/>
              </w:rPr>
              <w:t>环境污染后果，</w:t>
            </w:r>
            <w:r>
              <w:rPr>
                <w:rFonts w:hint="eastAsia" w:ascii="仿宋_GB2312" w:eastAsia="仿宋_GB2312" w:cs="宋体"/>
                <w:b w:val="0"/>
                <w:color w:val="auto"/>
                <w:sz w:val="22"/>
                <w:szCs w:val="22"/>
                <w:highlight w:val="none"/>
                <w:u w:val="none"/>
                <w:lang w:bidi="ar-SA"/>
              </w:rPr>
              <w:t>在</w:t>
            </w:r>
            <w:r>
              <w:rPr>
                <w:rFonts w:hint="eastAsia" w:ascii="仿宋_GB2312" w:eastAsia="仿宋_GB2312" w:cs="宋体"/>
                <w:b w:val="0"/>
                <w:color w:val="auto"/>
                <w:sz w:val="22"/>
                <w:szCs w:val="22"/>
                <w:highlight w:val="none"/>
                <w:u w:val="none"/>
                <w:lang w:val="en-US" w:eastAsia="zh-CN" w:bidi="ar-SA"/>
              </w:rPr>
              <w:t>1个月</w:t>
            </w:r>
            <w:r>
              <w:rPr>
                <w:rFonts w:hint="eastAsia" w:ascii="仿宋_GB2312" w:eastAsia="仿宋_GB2312" w:cs="宋体"/>
                <w:b w:val="0"/>
                <w:color w:val="auto"/>
                <w:sz w:val="22"/>
                <w:szCs w:val="22"/>
                <w:highlight w:val="none"/>
                <w:u w:val="none"/>
                <w:lang w:bidi="ar-SA"/>
              </w:rPr>
              <w:t>内</w:t>
            </w:r>
            <w:r>
              <w:rPr>
                <w:rFonts w:hint="eastAsia" w:ascii="仿宋_GB2312" w:eastAsia="仿宋_GB2312" w:cs="宋体"/>
                <w:color w:val="auto"/>
                <w:sz w:val="22"/>
                <w:szCs w:val="22"/>
                <w:highlight w:val="none"/>
                <w:u w:val="none"/>
                <w:lang w:bidi="ar-SA"/>
              </w:rPr>
              <w:t>重新申请取得排污许可证的</w:t>
            </w:r>
            <w:r>
              <w:rPr>
                <w:rFonts w:hint="eastAsia" w:ascii="仿宋_GB2312" w:eastAsia="仿宋_GB2312" w:cs="宋体"/>
                <w:color w:val="auto"/>
                <w:sz w:val="22"/>
                <w:szCs w:val="22"/>
                <w:highlight w:val="none"/>
                <w:u w:val="none"/>
                <w:lang w:eastAsia="zh-CN" w:bidi="ar-SA"/>
              </w:rPr>
              <w:t>。</w:t>
            </w:r>
          </w:p>
        </w:tc>
        <w:tc>
          <w:tcPr>
            <w:tcW w:w="6281" w:type="dxa"/>
            <w:gridSpan w:val="2"/>
            <w:vAlign w:val="center"/>
          </w:tcPr>
          <w:p w14:paraId="362CED3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1.</w:t>
            </w: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0D26088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第一百八十二条　排污许可证有效期为五年。在排污许可证有效期内，实行排污许可管理的企业事业单位和其他生产经营者有下列情形之一的，应当重新取得排污许可证：</w:t>
            </w:r>
          </w:p>
          <w:p w14:paraId="0628E7D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（一）新建、改建、扩建排放污染物的项目；</w:t>
            </w:r>
          </w:p>
          <w:p w14:paraId="3C0013A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（二）生产经营场所、排污口位置或者污染物排放方式、排放去向发生变化；</w:t>
            </w:r>
          </w:p>
          <w:p w14:paraId="4762903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（三）排污口数量或者污染物排放种类、排放浓度、排放量增加；</w:t>
            </w:r>
          </w:p>
          <w:p w14:paraId="6156F99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（四）法律、行政法规规定的其他情形。</w:t>
            </w:r>
          </w:p>
          <w:p w14:paraId="666BD5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none"/>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2.</w:t>
            </w:r>
            <w:r>
              <w:rPr>
                <w:rFonts w:hint="eastAsia" w:ascii="仿宋_GB2312" w:hAnsi="Calibri" w:eastAsia="仿宋_GB2312" w:cs="宋体"/>
                <w:strike w:val="0"/>
                <w:dstrike w:val="0"/>
                <w:color w:val="auto"/>
                <w:kern w:val="2"/>
                <w:sz w:val="22"/>
                <w:szCs w:val="22"/>
                <w:highlight w:val="none"/>
                <w:u w:val="none"/>
                <w:lang w:val="en-US" w:eastAsia="zh-CN" w:bidi="ar-SA"/>
              </w:rPr>
              <w:t>《排污许可管理条例》（国务院令第736号）</w:t>
            </w:r>
          </w:p>
          <w:p w14:paraId="15B39FD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none"/>
                <w:u w:val="none"/>
                <w:lang w:val="en-US" w:eastAsia="zh-CN" w:bidi="ar-SA"/>
              </w:rPr>
            </w:pPr>
            <w:r>
              <w:rPr>
                <w:rFonts w:hint="eastAsia" w:ascii="仿宋_GB2312" w:hAnsi="Calibri" w:eastAsia="仿宋_GB2312" w:cs="宋体"/>
                <w:strike w:val="0"/>
                <w:dstrike w:val="0"/>
                <w:color w:val="auto"/>
                <w:kern w:val="2"/>
                <w:sz w:val="22"/>
                <w:szCs w:val="22"/>
                <w:highlight w:val="none"/>
                <w:u w:val="none"/>
                <w:lang w:val="en-US" w:eastAsia="zh-CN" w:bidi="ar-SA"/>
              </w:rPr>
              <w:t>第三十三条 第四项  违反本条例规定，排污单位有下列行为之一的，由生态环境主管部门责令改正或者限制生产、停产整治，处20万元以上100万元以下的罚款；情节严重的，报经有批准权的人民政府批准，责令停业、关闭：</w:t>
            </w:r>
          </w:p>
          <w:p w14:paraId="512A6E4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none"/>
                <w:u w:val="none"/>
                <w:lang w:val="en-US" w:eastAsia="zh-CN" w:bidi="ar-SA"/>
              </w:rPr>
            </w:pPr>
            <w:r>
              <w:rPr>
                <w:rFonts w:hint="eastAsia" w:ascii="仿宋_GB2312" w:hAnsi="Calibri" w:eastAsia="仿宋_GB2312" w:cs="宋体"/>
                <w:strike w:val="0"/>
                <w:dstrike w:val="0"/>
                <w:color w:val="auto"/>
                <w:kern w:val="2"/>
                <w:sz w:val="22"/>
                <w:szCs w:val="22"/>
                <w:highlight w:val="none"/>
                <w:u w:val="none"/>
                <w:lang w:val="en-US" w:eastAsia="zh-CN" w:bidi="ar-SA"/>
              </w:rPr>
              <w:t>（四）依法应当重新申请取得排污许可证，未重新申请取得排污许可证排放污染物。</w:t>
            </w:r>
          </w:p>
          <w:p w14:paraId="739D677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p>
        </w:tc>
        <w:tc>
          <w:tcPr>
            <w:tcW w:w="1896" w:type="dxa"/>
            <w:gridSpan w:val="2"/>
            <w:vAlign w:val="center"/>
          </w:tcPr>
          <w:p w14:paraId="3C4EFEE3">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740942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10" w:hRule="atLeast"/>
        </w:trPr>
        <w:tc>
          <w:tcPr>
            <w:tcW w:w="750" w:type="dxa"/>
            <w:vAlign w:val="center"/>
          </w:tcPr>
          <w:p w14:paraId="07EA8930">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8</w:t>
            </w:r>
          </w:p>
        </w:tc>
        <w:tc>
          <w:tcPr>
            <w:tcW w:w="1747" w:type="dxa"/>
            <w:gridSpan w:val="2"/>
            <w:vAlign w:val="center"/>
          </w:tcPr>
          <w:p w14:paraId="02D5E624">
            <w:pPr>
              <w:keepNext w:val="0"/>
              <w:keepLines w:val="0"/>
              <w:pageBreakBefore w:val="0"/>
              <w:widowControl w:val="0"/>
              <w:kinsoku/>
              <w:wordWrap/>
              <w:topLinePunct w:val="0"/>
              <w:bidi w:val="0"/>
              <w:snapToGrid/>
              <w:spacing w:beforeAutospacing="0" w:afterAutospacing="0" w:line="320" w:lineRule="exact"/>
              <w:rPr>
                <w:rFonts w:hint="eastAsia"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none"/>
                <w:u w:val="none"/>
                <w:lang w:val="en-US" w:eastAsia="zh-CN" w:bidi="ar-SA"/>
              </w:rPr>
              <w:t>对</w:t>
            </w:r>
            <w:r>
              <w:rPr>
                <w:rFonts w:hint="eastAsia" w:ascii="仿宋_GB2312" w:eastAsia="仿宋_GB2312" w:cs="宋体"/>
                <w:color w:val="auto"/>
                <w:sz w:val="22"/>
                <w:szCs w:val="22"/>
                <w:highlight w:val="none"/>
                <w:u w:val="none"/>
                <w:lang w:val="en-US" w:eastAsia="zh-CN" w:bidi="ar-SA"/>
              </w:rPr>
              <w:t>未按照排污许可证规定</w:t>
            </w:r>
            <w:r>
              <w:rPr>
                <w:rFonts w:hint="eastAsia" w:ascii="仿宋_GB2312" w:cs="宋体"/>
                <w:color w:val="auto"/>
                <w:sz w:val="22"/>
                <w:szCs w:val="22"/>
                <w:highlight w:val="yellow"/>
                <w:u w:val="none"/>
                <w:lang w:val="en-US" w:eastAsia="zh-CN" w:bidi="ar-SA"/>
              </w:rPr>
              <w:t>向社会</w:t>
            </w:r>
            <w:r>
              <w:rPr>
                <w:rFonts w:hint="eastAsia" w:ascii="仿宋_GB2312" w:eastAsia="仿宋_GB2312" w:cs="宋体"/>
                <w:color w:val="auto"/>
                <w:sz w:val="22"/>
                <w:szCs w:val="22"/>
                <w:highlight w:val="none"/>
                <w:u w:val="none"/>
                <w:lang w:val="en-US" w:eastAsia="zh-CN" w:bidi="ar-SA"/>
              </w:rPr>
              <w:t>公开</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污染物排放信息或者公开内容不全（不包括公开内容弄虚作假）</w:t>
            </w:r>
            <w:r>
              <w:rPr>
                <w:rFonts w:ascii="Times New Roman" w:hAnsi="Times New Roman" w:eastAsia="楷体" w:cs="Times New Roman"/>
                <w:sz w:val="22"/>
                <w:szCs w:val="22"/>
              </w:rPr>
              <w:t>】</w:t>
            </w:r>
            <w:r>
              <w:rPr>
                <w:rFonts w:hint="eastAsia" w:ascii="仿宋_GB2312" w:cs="宋体"/>
                <w:color w:val="auto"/>
                <w:sz w:val="22"/>
                <w:szCs w:val="22"/>
                <w:highlight w:val="yellow"/>
                <w:u w:val="none"/>
                <w:lang w:val="en-US" w:eastAsia="zh-CN" w:bidi="ar-SA"/>
              </w:rPr>
              <w:t>生态环境信息（不包括</w:t>
            </w:r>
            <w:r>
              <w:rPr>
                <w:rFonts w:hint="eastAsia" w:ascii="仿宋_GB2312" w:hAnsi="Calibri" w:eastAsia="仿宋_GB2312" w:cs="宋体"/>
                <w:strike w:val="0"/>
                <w:dstrike w:val="0"/>
                <w:color w:val="auto"/>
                <w:kern w:val="2"/>
                <w:sz w:val="22"/>
                <w:szCs w:val="22"/>
                <w:highlight w:val="yellow"/>
                <w:u w:val="none"/>
                <w:lang w:val="en-US" w:eastAsia="zh-CN" w:bidi="ar-SA"/>
              </w:rPr>
              <w:t>不如实公开</w:t>
            </w:r>
            <w:r>
              <w:rPr>
                <w:rFonts w:hint="eastAsia" w:ascii="仿宋_GB2312" w:cs="宋体"/>
                <w:color w:val="auto"/>
                <w:sz w:val="22"/>
                <w:szCs w:val="22"/>
                <w:highlight w:val="yellow"/>
                <w:u w:val="none"/>
                <w:lang w:val="en-US" w:eastAsia="zh-CN" w:bidi="ar-SA"/>
              </w:rPr>
              <w:t>）</w:t>
            </w:r>
            <w:r>
              <w:rPr>
                <w:rFonts w:hint="eastAsia" w:ascii="仿宋_GB2312" w:cs="宋体"/>
                <w:color w:val="auto"/>
                <w:sz w:val="22"/>
                <w:szCs w:val="22"/>
                <w:highlight w:val="none"/>
                <w:u w:val="none"/>
                <w:lang w:val="en-US" w:eastAsia="zh-CN" w:bidi="ar-SA"/>
              </w:rPr>
              <w:t>的处罚</w:t>
            </w:r>
          </w:p>
        </w:tc>
        <w:tc>
          <w:tcPr>
            <w:tcW w:w="3957" w:type="dxa"/>
            <w:vAlign w:val="center"/>
          </w:tcPr>
          <w:p w14:paraId="4F57111A">
            <w:pPr>
              <w:keepNext w:val="0"/>
              <w:keepLines w:val="0"/>
              <w:pageBreakBefore w:val="0"/>
              <w:widowControl w:val="0"/>
              <w:kinsoku/>
              <w:wordWrap/>
              <w:topLinePunct w:val="0"/>
              <w:bidi w:val="0"/>
              <w:snapToGrid/>
              <w:spacing w:beforeAutospacing="0" w:afterAutospacing="0" w:line="320" w:lineRule="exact"/>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期间</w:t>
            </w:r>
            <w:r>
              <w:rPr>
                <w:rFonts w:hint="eastAsia" w:ascii="仿宋_GB2312" w:eastAsia="仿宋_GB2312" w:cs="宋体"/>
                <w:color w:val="auto"/>
                <w:sz w:val="22"/>
                <w:szCs w:val="22"/>
                <w:highlight w:val="none"/>
                <w:u w:val="none"/>
                <w:lang w:val="en-US" w:eastAsia="zh-CN" w:bidi="ar-SA"/>
              </w:rPr>
              <w:t>没有</w:t>
            </w:r>
            <w:r>
              <w:rPr>
                <w:rFonts w:hint="eastAsia" w:ascii="仿宋_GB2312" w:cs="宋体"/>
                <w:color w:val="auto"/>
                <w:sz w:val="22"/>
                <w:szCs w:val="22"/>
                <w:highlight w:val="yellow"/>
                <w:u w:val="none"/>
                <w:lang w:val="en-US" w:eastAsia="zh-CN" w:bidi="ar-SA"/>
              </w:rPr>
              <w:t>发现</w:t>
            </w:r>
            <w:r>
              <w:rPr>
                <w:rFonts w:hint="eastAsia" w:ascii="仿宋_GB2312" w:eastAsia="仿宋_GB2312" w:cs="宋体"/>
                <w:color w:val="auto"/>
                <w:sz w:val="22"/>
                <w:szCs w:val="22"/>
                <w:highlight w:val="none"/>
                <w:u w:val="none"/>
                <w:lang w:val="en-US" w:eastAsia="zh-CN" w:bidi="ar-SA"/>
              </w:rPr>
              <w:t>超标或者以逃避监管的方式排放污染物的行为，并在5个工作日内改正的。</w:t>
            </w:r>
          </w:p>
        </w:tc>
        <w:tc>
          <w:tcPr>
            <w:tcW w:w="6281" w:type="dxa"/>
            <w:gridSpan w:val="2"/>
            <w:vAlign w:val="center"/>
          </w:tcPr>
          <w:p w14:paraId="62A383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7154975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14:paraId="7CB7A48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第一千一百一十条</w:t>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hint="eastAsia" w:ascii="仿宋_GB2312" w:hAnsi="Calibri" w:eastAsia="仿宋_GB2312" w:cs="宋体"/>
                <w:strike w:val="0"/>
                <w:dstrike w:val="0"/>
                <w:color w:val="auto"/>
                <w:kern w:val="2"/>
                <w:sz w:val="22"/>
                <w:szCs w:val="22"/>
                <w:highlight w:val="yellow"/>
                <w:u w:val="none"/>
                <w:lang w:val="en-US" w:eastAsia="zh-CN" w:bidi="ar-SA"/>
              </w:rPr>
              <w:t>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14:paraId="3ABAD69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1.《排污许可管理条例》（国务院令第736号）</w:t>
            </w:r>
          </w:p>
          <w:p w14:paraId="027E1B7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第三十六条  违反本条例规定，排污单位有下列行为之一的，由生态环境主管部门责令改正，处2万元以上20万元以下的罚款；拒不改正的，责令停产整治：</w:t>
            </w:r>
          </w:p>
          <w:p w14:paraId="5EBDFC4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（七）未按照排污许可证规定公开或者不如实公开污染物排放信息。</w:t>
            </w:r>
            <w:r>
              <w:rPr>
                <w:rFonts w:ascii="Times New Roman" w:hAnsi="Times New Roman" w:eastAsia="楷体" w:cs="Times New Roman"/>
                <w:sz w:val="22"/>
                <w:szCs w:val="22"/>
              </w:rPr>
              <w:t>】</w:t>
            </w:r>
          </w:p>
          <w:p w14:paraId="3EA727BD">
            <w:pPr>
              <w:pStyle w:val="2"/>
              <w:rPr>
                <w:rFonts w:hint="eastAsia"/>
                <w:lang w:val="en-US" w:eastAsia="zh-CN"/>
              </w:rPr>
            </w:pPr>
          </w:p>
        </w:tc>
        <w:tc>
          <w:tcPr>
            <w:tcW w:w="1896" w:type="dxa"/>
            <w:gridSpan w:val="2"/>
            <w:vAlign w:val="center"/>
          </w:tcPr>
          <w:p w14:paraId="56E7184C">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441B2D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38" w:hRule="atLeast"/>
        </w:trPr>
        <w:tc>
          <w:tcPr>
            <w:tcW w:w="750" w:type="dxa"/>
            <w:vAlign w:val="center"/>
          </w:tcPr>
          <w:p w14:paraId="3C1CEC08">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highlight w:val="none"/>
                <w:u w:val="none"/>
                <w:lang w:val="en-US" w:eastAsia="zh-CN"/>
              </w:rPr>
            </w:pPr>
            <w:r>
              <w:rPr>
                <w:rFonts w:hint="eastAsia" w:ascii="仿宋_GB2312" w:eastAsia="仿宋_GB2312" w:cs="宋体"/>
                <w:color w:val="auto"/>
                <w:sz w:val="22"/>
                <w:szCs w:val="22"/>
                <w:highlight w:val="none"/>
                <w:u w:val="none"/>
                <w:lang w:val="en-US" w:eastAsia="zh-CN" w:bidi="ar-SA"/>
              </w:rPr>
              <w:t>9</w:t>
            </w:r>
          </w:p>
        </w:tc>
        <w:tc>
          <w:tcPr>
            <w:tcW w:w="1747" w:type="dxa"/>
            <w:gridSpan w:val="2"/>
            <w:vAlign w:val="center"/>
          </w:tcPr>
          <w:p w14:paraId="561E42E2">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对</w:t>
            </w:r>
            <w:r>
              <w:rPr>
                <w:rFonts w:hint="eastAsia" w:ascii="仿宋_GB2312" w:eastAsia="仿宋_GB2312" w:cs="宋体"/>
                <w:color w:val="auto"/>
                <w:sz w:val="22"/>
                <w:szCs w:val="22"/>
                <w:highlight w:val="none"/>
                <w:u w:val="none"/>
                <w:lang w:val="en-US" w:eastAsia="zh-CN" w:bidi="ar-SA"/>
              </w:rPr>
              <w:t>排污单位</w:t>
            </w:r>
            <w:r>
              <w:rPr>
                <w:rFonts w:hint="eastAsia" w:ascii="仿宋_GB2312" w:eastAsia="仿宋_GB2312" w:cs="宋体"/>
                <w:color w:val="auto"/>
                <w:sz w:val="22"/>
                <w:szCs w:val="22"/>
                <w:highlight w:val="none"/>
                <w:u w:val="none"/>
                <w:lang w:bidi="ar-SA"/>
              </w:rPr>
              <w:t>未建立环境管理台账记录制度或未依法提交排污许可证执行报告的处罚</w:t>
            </w:r>
          </w:p>
        </w:tc>
        <w:tc>
          <w:tcPr>
            <w:tcW w:w="3957" w:type="dxa"/>
            <w:vAlign w:val="center"/>
          </w:tcPr>
          <w:p w14:paraId="01C86213">
            <w:pPr>
              <w:keepNext w:val="0"/>
              <w:keepLines w:val="0"/>
              <w:pageBreakBefore w:val="0"/>
              <w:widowControl w:val="0"/>
              <w:kinsoku/>
              <w:wordWrap/>
              <w:topLinePunct w:val="0"/>
              <w:bidi w:val="0"/>
              <w:snapToGrid/>
              <w:spacing w:beforeAutospacing="0" w:afterAutospacing="0" w:line="320" w:lineRule="exact"/>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违法行为持续时间不超过3个月，</w:t>
            </w:r>
            <w:r>
              <w:rPr>
                <w:rFonts w:hint="eastAsia" w:ascii="仿宋_GB2312" w:eastAsia="仿宋_GB2312" w:cs="宋体"/>
                <w:color w:val="auto"/>
                <w:sz w:val="22"/>
                <w:szCs w:val="22"/>
                <w:highlight w:val="none"/>
                <w:u w:val="none"/>
                <w:lang w:val="en-US" w:eastAsia="zh-CN" w:bidi="ar-SA"/>
              </w:rPr>
              <w:t>并在</w:t>
            </w:r>
            <w:r>
              <w:rPr>
                <w:rFonts w:hint="eastAsia" w:ascii="仿宋_GB2312" w:eastAsia="仿宋_GB2312" w:cs="宋体"/>
                <w:color w:val="auto"/>
                <w:sz w:val="22"/>
                <w:szCs w:val="22"/>
                <w:highlight w:val="none"/>
                <w:u w:val="none"/>
                <w:lang w:bidi="ar-SA"/>
              </w:rPr>
              <w:t>5个工作日内</w:t>
            </w:r>
            <w:r>
              <w:rPr>
                <w:rFonts w:hint="eastAsia" w:ascii="仿宋_GB2312" w:eastAsia="仿宋_GB2312" w:cs="宋体"/>
                <w:color w:val="auto"/>
                <w:sz w:val="22"/>
                <w:szCs w:val="22"/>
                <w:highlight w:val="none"/>
                <w:u w:val="none"/>
                <w:lang w:eastAsia="zh-CN" w:bidi="ar-SA"/>
              </w:rPr>
              <w:t>改正</w:t>
            </w:r>
            <w:r>
              <w:rPr>
                <w:rFonts w:hint="eastAsia" w:ascii="仿宋_GB2312" w:eastAsia="仿宋_GB2312" w:cs="宋体"/>
                <w:color w:val="auto"/>
                <w:sz w:val="22"/>
                <w:szCs w:val="22"/>
                <w:highlight w:val="none"/>
                <w:u w:val="none"/>
                <w:lang w:bidi="ar-SA"/>
              </w:rPr>
              <w:t>的</w:t>
            </w:r>
            <w:r>
              <w:rPr>
                <w:rFonts w:hint="eastAsia" w:ascii="仿宋_GB2312" w:eastAsia="仿宋_GB2312" w:cs="宋体"/>
                <w:color w:val="auto"/>
                <w:sz w:val="22"/>
                <w:szCs w:val="22"/>
                <w:highlight w:val="none"/>
                <w:u w:val="none"/>
                <w:lang w:eastAsia="zh-CN" w:bidi="ar-SA"/>
              </w:rPr>
              <w:t>，且</w:t>
            </w:r>
            <w:r>
              <w:rPr>
                <w:rFonts w:hint="eastAsia" w:ascii="仿宋_GB2312" w:cs="宋体"/>
                <w:color w:val="auto"/>
                <w:sz w:val="22"/>
                <w:szCs w:val="22"/>
                <w:highlight w:val="none"/>
                <w:u w:val="none"/>
                <w:lang w:eastAsia="zh-CN" w:bidi="ar-SA"/>
              </w:rPr>
              <w:t>期间没有</w:t>
            </w:r>
            <w:r>
              <w:rPr>
                <w:rFonts w:hint="eastAsia" w:ascii="仿宋_GB2312" w:cs="宋体"/>
                <w:color w:val="auto"/>
                <w:sz w:val="22"/>
                <w:szCs w:val="22"/>
                <w:highlight w:val="yellow"/>
                <w:u w:val="none"/>
                <w:lang w:eastAsia="zh-CN" w:bidi="ar-SA"/>
              </w:rPr>
              <w:t>发现</w:t>
            </w:r>
            <w:r>
              <w:rPr>
                <w:rFonts w:hint="eastAsia" w:ascii="仿宋_GB2312" w:eastAsia="仿宋_GB2312" w:cs="宋体"/>
                <w:color w:val="auto"/>
                <w:sz w:val="22"/>
                <w:szCs w:val="22"/>
                <w:highlight w:val="none"/>
                <w:u w:val="none"/>
                <w:lang w:eastAsia="zh-CN" w:bidi="ar-SA"/>
              </w:rPr>
              <w:t>其他违反排污许可证要求的行为</w:t>
            </w:r>
            <w:r>
              <w:rPr>
                <w:rFonts w:hint="eastAsia" w:ascii="仿宋_GB2312" w:eastAsia="仿宋_GB2312" w:cs="宋体"/>
                <w:color w:val="auto"/>
                <w:sz w:val="22"/>
                <w:szCs w:val="22"/>
                <w:highlight w:val="none"/>
                <w:u w:val="none"/>
                <w:lang w:bidi="ar-SA"/>
              </w:rPr>
              <w:t>。</w:t>
            </w:r>
          </w:p>
        </w:tc>
        <w:tc>
          <w:tcPr>
            <w:tcW w:w="6281" w:type="dxa"/>
            <w:gridSpan w:val="2"/>
            <w:vAlign w:val="center"/>
          </w:tcPr>
          <w:p w14:paraId="45348D8D">
            <w:pPr>
              <w:keepNext w:val="0"/>
              <w:keepLines w:val="0"/>
              <w:widowControl/>
              <w:suppressLineNumbers w:val="0"/>
              <w:ind w:firstLine="440" w:firstLineChars="200"/>
              <w:jc w:val="left"/>
            </w:pPr>
            <w:r>
              <w:rPr>
                <w:rFonts w:hint="eastAsia" w:ascii="仿宋_GB2312" w:hAnsi="Calibri" w:cs="宋体"/>
                <w:strike w:val="0"/>
                <w:dstrike w:val="0"/>
                <w:color w:val="auto"/>
                <w:kern w:val="2"/>
                <w:sz w:val="22"/>
                <w:szCs w:val="22"/>
                <w:highlight w:val="yellow"/>
                <w:u w:val="none"/>
                <w:lang w:val="en-US" w:eastAsia="zh-CN" w:bidi="ar-SA"/>
              </w:rPr>
              <w:t>1.</w:t>
            </w: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hint="eastAsia" w:ascii="仿宋_GB2312" w:hAnsi="Calibri" w:eastAsia="仿宋_GB2312" w:cs="宋体"/>
                <w:strike w:val="0"/>
                <w:dstrike w:val="0"/>
                <w:color w:val="auto"/>
                <w:kern w:val="2"/>
                <w:sz w:val="22"/>
                <w:szCs w:val="22"/>
                <w:highlight w:val="yellow"/>
                <w:u w:val="none"/>
                <w:lang w:val="en-US" w:eastAsia="zh-CN" w:bidi="ar-SA"/>
              </w:rPr>
              <w:t>第一百八十三条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76DEBAF6">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eastAsia="zh-CN" w:bidi="ar-SA"/>
              </w:rPr>
            </w:pP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highlight w:val="yellow"/>
                <w:u w:val="none"/>
                <w:lang w:val="en-US" w:eastAsia="zh-CN" w:bidi="ar-SA"/>
              </w:rPr>
              <w:t>.</w:t>
            </w:r>
            <w:r>
              <w:rPr>
                <w:rFonts w:hint="eastAsia" w:ascii="仿宋_GB2312" w:eastAsia="仿宋_GB2312" w:cs="宋体"/>
                <w:color w:val="auto"/>
                <w:sz w:val="22"/>
                <w:szCs w:val="22"/>
                <w:highlight w:val="none"/>
                <w:u w:val="none"/>
                <w:lang w:bidi="ar-SA"/>
              </w:rPr>
              <w:t>《排污许可管理条例》</w:t>
            </w:r>
            <w:r>
              <w:rPr>
                <w:rFonts w:hint="eastAsia" w:ascii="仿宋_GB2312" w:eastAsia="仿宋_GB2312" w:cs="宋体"/>
                <w:color w:val="auto"/>
                <w:sz w:val="22"/>
                <w:szCs w:val="22"/>
                <w:highlight w:val="none"/>
                <w:u w:val="none"/>
                <w:lang w:eastAsia="zh-CN" w:bidi="ar-SA"/>
              </w:rPr>
              <w:t>（国务院令（第736号）</w:t>
            </w:r>
          </w:p>
          <w:p w14:paraId="43616974">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第二十一条</w:t>
            </w:r>
            <w:r>
              <w:rPr>
                <w:rFonts w:hint="eastAsia" w:ascii="仿宋_GB2312" w:eastAsia="仿宋_GB2312" w:cs="宋体"/>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bidi="ar-SA"/>
              </w:rPr>
              <w:t xml:space="preserve">第一款 </w:t>
            </w:r>
            <w:r>
              <w:rPr>
                <w:rFonts w:hint="eastAsia" w:ascii="仿宋_GB2312" w:eastAsia="仿宋_GB2312" w:cs="宋体"/>
                <w:color w:val="auto"/>
                <w:sz w:val="22"/>
                <w:szCs w:val="22"/>
                <w:highlight w:val="none"/>
                <w:u w:val="none"/>
                <w:lang w:val="en-US" w:bidi="ar-SA"/>
              </w:rPr>
              <w:t xml:space="preserve"> </w:t>
            </w:r>
            <w:r>
              <w:rPr>
                <w:rFonts w:hint="eastAsia" w:ascii="仿宋_GB2312" w:eastAsia="仿宋_GB2312" w:cs="宋体"/>
                <w:color w:val="auto"/>
                <w:sz w:val="22"/>
                <w:szCs w:val="22"/>
                <w:highlight w:val="none"/>
                <w:u w:val="none"/>
                <w:lang w:bidi="ar-SA"/>
              </w:rPr>
              <w:t>排污单位应当建立环境管理台账记录制度，按照排污许可证规定的格式、内容和频次，如实记录主要生产设施、污染防治设施运行情况以及污染物排放浓度、排放量。环境管理台账记录保存期限不得少于5年。</w:t>
            </w:r>
          </w:p>
          <w:p w14:paraId="06A207C5">
            <w:pPr>
              <w:keepNext w:val="0"/>
              <w:keepLines w:val="0"/>
              <w:pageBreakBefore w:val="0"/>
              <w:widowControl w:val="0"/>
              <w:kinsoku/>
              <w:wordWrap/>
              <w:topLinePunct w:val="0"/>
              <w:bidi w:val="0"/>
              <w:snapToGrid/>
              <w:spacing w:beforeAutospacing="0" w:afterAutospacing="0" w:line="320" w:lineRule="exact"/>
              <w:ind w:firstLine="440" w:firstLineChars="200"/>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第三十七</w:t>
            </w:r>
            <w:r>
              <w:rPr>
                <w:rFonts w:hint="eastAsia" w:ascii="仿宋_GB2312" w:eastAsia="仿宋_GB2312" w:cs="宋体"/>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bidi="ar-SA"/>
              </w:rPr>
              <w:t>条第</w:t>
            </w:r>
            <w:r>
              <w:rPr>
                <w:rFonts w:hint="eastAsia" w:ascii="仿宋_GB2312" w:eastAsia="仿宋_GB2312" w:cs="宋体"/>
                <w:color w:val="auto"/>
                <w:sz w:val="22"/>
                <w:szCs w:val="22"/>
                <w:highlight w:val="none"/>
                <w:u w:val="none"/>
                <w:lang w:val="en-US" w:eastAsia="zh-CN" w:bidi="ar-SA"/>
              </w:rPr>
              <w:t>一</w:t>
            </w:r>
            <w:r>
              <w:rPr>
                <w:rFonts w:hint="eastAsia" w:ascii="仿宋_GB2312" w:eastAsia="仿宋_GB2312" w:cs="宋体"/>
                <w:color w:val="auto"/>
                <w:sz w:val="22"/>
                <w:szCs w:val="22"/>
                <w:highlight w:val="none"/>
                <w:u w:val="none"/>
                <w:lang w:bidi="ar-SA"/>
              </w:rPr>
              <w:t>项</w:t>
            </w:r>
            <w:r>
              <w:rPr>
                <w:rFonts w:hint="eastAsia" w:ascii="仿宋_GB2312" w:eastAsia="仿宋_GB2312" w:cs="宋体"/>
                <w:color w:val="auto"/>
                <w:sz w:val="22"/>
                <w:szCs w:val="22"/>
                <w:highlight w:val="none"/>
                <w:u w:val="none"/>
                <w:lang w:eastAsia="zh-CN" w:bidi="ar-SA"/>
              </w:rPr>
              <w:t>、第三项</w:t>
            </w:r>
            <w:r>
              <w:rPr>
                <w:rFonts w:hint="eastAsia" w:ascii="仿宋_GB2312" w:eastAsia="仿宋_GB2312" w:cs="宋体"/>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bidi="ar-SA"/>
              </w:rPr>
              <w:t xml:space="preserve"> 违反本条例规定，排污单位有下列行为之一的，由生态环境主管部门责令改正，处每次5千元以上2万元以下的罚款；法律另有规定的，从其规定：</w:t>
            </w:r>
          </w:p>
          <w:p w14:paraId="337B4ED4">
            <w:pPr>
              <w:keepNext w:val="0"/>
              <w:keepLines w:val="0"/>
              <w:pageBreakBefore w:val="0"/>
              <w:widowControl w:val="0"/>
              <w:numPr>
                <w:ilvl w:val="0"/>
                <w:numId w:val="1"/>
              </w:numPr>
              <w:kinsoku/>
              <w:wordWrap/>
              <w:topLinePunct w:val="0"/>
              <w:bidi w:val="0"/>
              <w:snapToGrid/>
              <w:spacing w:beforeAutospacing="0" w:afterAutospacing="0" w:line="320" w:lineRule="exact"/>
              <w:ind w:left="0" w:firstLine="440" w:firstLineChars="200"/>
              <w:rPr>
                <w:rFonts w:hint="eastAsia" w:ascii="仿宋_GB2312" w:eastAsia="仿宋_GB2312" w:cs="宋体"/>
                <w:color w:val="auto"/>
                <w:sz w:val="22"/>
                <w:szCs w:val="22"/>
                <w:highlight w:val="none"/>
                <w:u w:val="none"/>
                <w:lang w:eastAsia="zh-CN" w:bidi="ar-SA"/>
              </w:rPr>
            </w:pPr>
            <w:r>
              <w:rPr>
                <w:rFonts w:hint="eastAsia" w:ascii="仿宋_GB2312" w:eastAsia="仿宋_GB2312" w:cs="宋体"/>
                <w:color w:val="auto"/>
                <w:sz w:val="22"/>
                <w:szCs w:val="22"/>
                <w:highlight w:val="none"/>
                <w:u w:val="none"/>
                <w:lang w:bidi="ar-SA"/>
              </w:rPr>
              <w:t>未建立环境管理台账记录制度，或者未按照排污许可证规定记录</w:t>
            </w:r>
            <w:r>
              <w:rPr>
                <w:rFonts w:hint="eastAsia" w:ascii="仿宋_GB2312" w:eastAsia="仿宋_GB2312" w:cs="宋体"/>
                <w:color w:val="auto"/>
                <w:sz w:val="22"/>
                <w:szCs w:val="22"/>
                <w:highlight w:val="none"/>
                <w:u w:val="none"/>
                <w:lang w:eastAsia="zh-CN" w:bidi="ar-SA"/>
              </w:rPr>
              <w:t>。</w:t>
            </w:r>
          </w:p>
          <w:p w14:paraId="2E91D4B4">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eastAsia="zh-CN" w:bidi="ar-SA"/>
              </w:rPr>
              <w:t>（三）未按照排污许可证规定提交排污许可证执行报告。</w:t>
            </w:r>
          </w:p>
        </w:tc>
        <w:tc>
          <w:tcPr>
            <w:tcW w:w="1896" w:type="dxa"/>
            <w:gridSpan w:val="2"/>
            <w:vAlign w:val="center"/>
          </w:tcPr>
          <w:p w14:paraId="654714E6">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49C9B3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1" w:type="dxa"/>
          <w:trHeight w:val="5732" w:hRule="atLeast"/>
        </w:trPr>
        <w:tc>
          <w:tcPr>
            <w:tcW w:w="778" w:type="dxa"/>
            <w:gridSpan w:val="2"/>
            <w:vAlign w:val="center"/>
          </w:tcPr>
          <w:p w14:paraId="45EBBA8A">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b w:val="0"/>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r>
              <w:rPr>
                <w:rFonts w:hint="eastAsia" w:ascii="仿宋_GB2312" w:eastAsia="仿宋_GB2312" w:cs="宋体"/>
                <w:b w:val="0"/>
                <w:color w:val="auto"/>
                <w:sz w:val="22"/>
                <w:szCs w:val="22"/>
                <w:highlight w:val="none"/>
                <w:u w:val="none"/>
                <w:lang w:val="en-US" w:eastAsia="zh-CN" w:bidi="ar-SA"/>
              </w:rPr>
              <w:t>10</w:t>
            </w:r>
          </w:p>
          <w:p w14:paraId="550370A4">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b w:val="0"/>
                <w:color w:val="auto"/>
                <w:sz w:val="22"/>
                <w:szCs w:val="22"/>
                <w:highlight w:val="none"/>
                <w:u w:val="none"/>
                <w:lang w:val="en-US" w:eastAsia="zh-CN" w:bidi="ar-SA"/>
              </w:rPr>
            </w:pPr>
          </w:p>
        </w:tc>
        <w:tc>
          <w:tcPr>
            <w:tcW w:w="1719" w:type="dxa"/>
            <w:vAlign w:val="center"/>
          </w:tcPr>
          <w:p w14:paraId="628CF8F4">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b w:val="0"/>
                <w:color w:val="auto"/>
                <w:sz w:val="22"/>
                <w:szCs w:val="22"/>
                <w:highlight w:val="none"/>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对超过污染物排放标准排放大气污染物的处罚</w:t>
            </w:r>
            <w:r>
              <w:rPr>
                <w:rFonts w:ascii="Times New Roman" w:hAnsi="Times New Roman" w:eastAsia="楷体" w:cs="Times New Roman"/>
                <w:sz w:val="22"/>
                <w:szCs w:val="22"/>
              </w:rPr>
              <w:t>】</w:t>
            </w:r>
            <w:r>
              <w:rPr>
                <w:rFonts w:hint="eastAsia" w:ascii="仿宋_GB2312" w:cs="宋体"/>
                <w:b w:val="0"/>
                <w:color w:val="auto"/>
                <w:kern w:val="0"/>
                <w:sz w:val="22"/>
                <w:szCs w:val="22"/>
                <w:highlight w:val="yellow"/>
                <w:u w:val="none"/>
                <w:lang w:val="en-US" w:eastAsia="zh-CN"/>
              </w:rPr>
              <w:t>对超过排污许可证载明的许可排放限值或者</w:t>
            </w:r>
            <w:r>
              <w:rPr>
                <w:rFonts w:hint="eastAsia" w:ascii="仿宋_GB2312" w:eastAsia="仿宋_GB2312" w:cs="宋体"/>
                <w:b w:val="0"/>
                <w:color w:val="auto"/>
                <w:kern w:val="0"/>
                <w:sz w:val="22"/>
                <w:szCs w:val="22"/>
                <w:highlight w:val="yellow"/>
                <w:u w:val="none"/>
              </w:rPr>
              <w:t>超过污染物排放标准排放污染物的处罚</w:t>
            </w:r>
          </w:p>
        </w:tc>
        <w:tc>
          <w:tcPr>
            <w:tcW w:w="3957" w:type="dxa"/>
            <w:vAlign w:val="center"/>
          </w:tcPr>
          <w:p w14:paraId="4CE9BC08">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cs="宋体"/>
                <w:b w:val="0"/>
                <w:color w:val="auto"/>
                <w:sz w:val="22"/>
                <w:szCs w:val="22"/>
                <w:highlight w:val="yellow"/>
                <w:u w:val="none"/>
                <w:lang w:val="en-US" w:eastAsia="zh-CN" w:bidi="ar-SA"/>
              </w:rPr>
            </w:pPr>
            <w:r>
              <w:rPr>
                <w:rFonts w:hint="eastAsia" w:ascii="仿宋_GB2312" w:cs="宋体"/>
                <w:b w:val="0"/>
                <w:color w:val="auto"/>
                <w:sz w:val="22"/>
                <w:szCs w:val="22"/>
                <w:highlight w:val="yellow"/>
                <w:u w:val="none"/>
                <w:lang w:val="en-US" w:eastAsia="zh-CN" w:bidi="ar-SA"/>
              </w:rPr>
              <w:t>1.大气污染物</w:t>
            </w:r>
          </w:p>
          <w:p w14:paraId="4343A435">
            <w:pPr>
              <w:pStyle w:val="7"/>
              <w:ind w:firstLine="440" w:firstLineChars="200"/>
              <w:rPr>
                <w:rFonts w:hint="eastAsia" w:ascii="仿宋_GB2312" w:eastAsia="仿宋_GB2312" w:cs="宋体"/>
                <w:b w:val="0"/>
                <w:color w:val="auto"/>
                <w:sz w:val="22"/>
                <w:szCs w:val="22"/>
                <w:highlight w:val="none"/>
                <w:u w:val="none"/>
                <w:lang w:val="en-US" w:eastAsia="zh-CN" w:bidi="ar-SA"/>
              </w:rPr>
            </w:pPr>
            <w:r>
              <w:rPr>
                <w:rFonts w:hint="eastAsia" w:ascii="仿宋_GB2312" w:eastAsia="仿宋_GB2312" w:cs="宋体"/>
                <w:b w:val="0"/>
                <w:color w:val="auto"/>
                <w:sz w:val="22"/>
                <w:szCs w:val="22"/>
                <w:highlight w:val="none"/>
                <w:u w:val="none"/>
                <w:lang w:val="en-US" w:eastAsia="zh-CN" w:bidi="ar-SA"/>
              </w:rPr>
              <w:t>（1）除有毒有害物质、放射性物质、重金属、持久性有机污染物之外，</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超标</w:t>
            </w:r>
            <w:r>
              <w:rPr>
                <w:rFonts w:ascii="Times New Roman" w:hAnsi="Times New Roman" w:eastAsia="楷体" w:cs="Times New Roman"/>
                <w:sz w:val="22"/>
                <w:szCs w:val="22"/>
              </w:rPr>
              <w:t>】</w:t>
            </w:r>
            <w:r>
              <w:rPr>
                <w:rFonts w:hint="eastAsia" w:ascii="仿宋_GB2312" w:hAnsi="Times New Roman" w:eastAsia="仿宋_GB2312" w:cs="宋体"/>
                <w:b w:val="0"/>
                <w:color w:val="auto"/>
                <w:kern w:val="2"/>
                <w:sz w:val="22"/>
                <w:szCs w:val="22"/>
                <w:highlight w:val="yellow"/>
                <w:u w:val="none"/>
                <w:lang w:val="en-US" w:eastAsia="zh-CN" w:bidi="ar-SA"/>
              </w:rPr>
              <w:t>超过限值或者标准</w:t>
            </w:r>
            <w:r>
              <w:rPr>
                <w:rFonts w:hint="eastAsia" w:ascii="仿宋_GB2312" w:eastAsia="仿宋_GB2312" w:cs="宋体"/>
                <w:b w:val="0"/>
                <w:color w:val="auto"/>
                <w:sz w:val="22"/>
                <w:szCs w:val="22"/>
                <w:highlight w:val="none"/>
                <w:u w:val="none"/>
                <w:lang w:val="en-US" w:eastAsia="zh-CN" w:bidi="ar-SA"/>
              </w:rPr>
              <w:t>排放大气污染物（不含恶臭、机动车和非道路移动机械排放污染物、生活垃圾处理单位日均值）仅有一项污染物</w:t>
            </w:r>
            <w:r>
              <w:rPr>
                <w:rFonts w:hint="eastAsia" w:ascii="仿宋_GB2312" w:hAnsi="Times New Roman" w:eastAsia="仿宋_GB2312" w:cs="宋体"/>
                <w:b w:val="0"/>
                <w:color w:val="auto"/>
                <w:kern w:val="2"/>
                <w:sz w:val="22"/>
                <w:szCs w:val="22"/>
                <w:highlight w:val="none"/>
                <w:u w:val="none"/>
                <w:lang w:val="en-US" w:eastAsia="zh-CN" w:bidi="ar-SA"/>
              </w:rPr>
              <w:t>超过规定</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排放标准</w:t>
            </w:r>
            <w:r>
              <w:rPr>
                <w:rFonts w:ascii="Times New Roman" w:hAnsi="Times New Roman" w:eastAsia="楷体" w:cs="Times New Roman"/>
                <w:sz w:val="22"/>
                <w:szCs w:val="22"/>
              </w:rPr>
              <w:t>】</w:t>
            </w:r>
            <w:r>
              <w:rPr>
                <w:rFonts w:hint="eastAsia" w:ascii="仿宋_GB2312" w:hAnsi="Times New Roman" w:eastAsia="仿宋_GB2312" w:cs="宋体"/>
                <w:b w:val="0"/>
                <w:color w:val="auto"/>
                <w:kern w:val="2"/>
                <w:sz w:val="22"/>
                <w:szCs w:val="22"/>
                <w:highlight w:val="yellow"/>
                <w:u w:val="none"/>
                <w:lang w:val="en-US" w:eastAsia="zh-CN" w:bidi="ar-SA"/>
              </w:rPr>
              <w:t>限值或者标准</w:t>
            </w:r>
            <w:r>
              <w:rPr>
                <w:rFonts w:hint="eastAsia" w:ascii="仿宋_GB2312" w:hAnsi="Times New Roman" w:eastAsia="仿宋_GB2312" w:cs="宋体"/>
                <w:b w:val="0"/>
                <w:color w:val="auto"/>
                <w:kern w:val="2"/>
                <w:sz w:val="22"/>
                <w:szCs w:val="22"/>
                <w:highlight w:val="none"/>
                <w:u w:val="none"/>
                <w:lang w:val="en-US" w:eastAsia="zh-CN" w:bidi="ar-SA"/>
              </w:rPr>
              <w:t>且超过幅度不超过10%，</w:t>
            </w:r>
            <w:r>
              <w:rPr>
                <w:rFonts w:hint="eastAsia" w:ascii="仿宋_GB2312" w:eastAsia="仿宋_GB2312" w:cs="宋体"/>
                <w:b w:val="0"/>
                <w:color w:val="auto"/>
                <w:sz w:val="22"/>
                <w:szCs w:val="22"/>
                <w:highlight w:val="none"/>
                <w:u w:val="none"/>
                <w:lang w:val="en-US" w:eastAsia="zh-CN" w:bidi="ar-SA"/>
              </w:rPr>
              <w:t>并在3个工作日内改正的。</w:t>
            </w:r>
          </w:p>
          <w:p w14:paraId="598FCE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烟气在线监控小时数据超标但及时改正，有效日均值（该自然日有效小时数据的算术均值）未超过污染物排放限值的。</w:t>
            </w:r>
            <w:r>
              <w:rPr>
                <w:rFonts w:ascii="Times New Roman" w:hAnsi="Times New Roman" w:eastAsia="楷体" w:cs="Times New Roman"/>
                <w:sz w:val="22"/>
                <w:szCs w:val="22"/>
              </w:rPr>
              <w:t>】</w:t>
            </w:r>
            <w:r>
              <w:rPr>
                <w:rFonts w:hint="eastAsia" w:ascii="仿宋_GB2312" w:eastAsia="仿宋_GB2312" w:cs="宋体"/>
                <w:b w:val="0"/>
                <w:color w:val="auto"/>
                <w:sz w:val="22"/>
                <w:szCs w:val="22"/>
                <w:highlight w:val="none"/>
                <w:u w:val="none"/>
                <w:lang w:val="en-US" w:eastAsia="zh-CN" w:bidi="ar-SA"/>
              </w:rPr>
              <w:br w:type="textWrapping"/>
            </w:r>
            <w:r>
              <w:rPr>
                <w:rFonts w:hint="eastAsia" w:ascii="仿宋_GB2312" w:cs="宋体"/>
                <w:b w:val="0"/>
                <w:color w:val="auto"/>
                <w:sz w:val="22"/>
                <w:szCs w:val="22"/>
                <w:highlight w:val="none"/>
                <w:u w:val="none"/>
                <w:lang w:val="en-US" w:eastAsia="zh-CN" w:bidi="ar-SA"/>
              </w:rPr>
              <w:t xml:space="preserve">  </w:t>
            </w:r>
            <w:r>
              <w:rPr>
                <w:rFonts w:hint="eastAsia" w:ascii="仿宋_GB2312" w:eastAsia="仿宋_GB2312" w:cs="宋体"/>
                <w:color w:val="auto"/>
                <w:sz w:val="22"/>
                <w:szCs w:val="22"/>
                <w:highlight w:val="yellow"/>
                <w:u w:val="none"/>
                <w:lang w:val="en-US" w:eastAsia="zh-CN" w:bidi="ar-SA"/>
              </w:rPr>
              <w:t>（2）具备下列情形之一的排污者，</w:t>
            </w:r>
            <w:r>
              <w:rPr>
                <w:rFonts w:hint="eastAsia" w:ascii="仿宋_GB2312" w:cs="宋体"/>
                <w:b w:val="0"/>
                <w:color w:val="auto"/>
                <w:kern w:val="0"/>
                <w:sz w:val="22"/>
                <w:szCs w:val="22"/>
                <w:highlight w:val="yellow"/>
                <w:u w:val="none"/>
                <w:lang w:val="en-US" w:eastAsia="zh-CN"/>
              </w:rPr>
              <w:t>超过排污许可证载明的许可排放限值或者</w:t>
            </w:r>
            <w:r>
              <w:rPr>
                <w:rFonts w:hint="eastAsia" w:ascii="仿宋_GB2312" w:eastAsia="仿宋_GB2312" w:cs="宋体"/>
                <w:b w:val="0"/>
                <w:color w:val="auto"/>
                <w:kern w:val="0"/>
                <w:sz w:val="22"/>
                <w:szCs w:val="22"/>
                <w:highlight w:val="yellow"/>
                <w:u w:val="none"/>
              </w:rPr>
              <w:t>超过污染物排放标准排放污染物</w:t>
            </w:r>
            <w:r>
              <w:rPr>
                <w:rFonts w:hint="eastAsia" w:ascii="仿宋_GB2312" w:eastAsia="仿宋_GB2312" w:cs="宋体"/>
                <w:color w:val="auto"/>
                <w:sz w:val="22"/>
                <w:szCs w:val="22"/>
                <w:highlight w:val="yellow"/>
                <w:u w:val="none"/>
                <w:lang w:val="en-US" w:eastAsia="zh-CN" w:bidi="ar-SA"/>
              </w:rPr>
              <w:t>，不予实施停产整治：</w:t>
            </w:r>
          </w:p>
          <w:p w14:paraId="1CEFB49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①城镇污水处理、垃圾处理、危险废物处置等公共设施的运营单位；</w:t>
            </w:r>
          </w:p>
          <w:p w14:paraId="5FD934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②生产经营业务涉及基本民生、公共利益的；</w:t>
            </w:r>
          </w:p>
          <w:p w14:paraId="3347D30A">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eastAsia="宋体"/>
                <w:b w:val="0"/>
                <w:sz w:val="21"/>
                <w:u w:val="none"/>
                <w:lang w:val="en-US" w:eastAsia="zh-CN"/>
              </w:rPr>
            </w:pPr>
            <w:r>
              <w:rPr>
                <w:rFonts w:hint="eastAsia" w:ascii="仿宋_GB2312" w:eastAsia="仿宋_GB2312" w:cs="宋体"/>
                <w:color w:val="auto"/>
                <w:sz w:val="22"/>
                <w:szCs w:val="22"/>
                <w:highlight w:val="yellow"/>
                <w:u w:val="none"/>
                <w:lang w:val="en-US" w:eastAsia="zh-CN" w:bidi="ar-SA"/>
              </w:rPr>
              <w:t>③实施停产整治可能影响生产安全的。</w:t>
            </w:r>
          </w:p>
        </w:tc>
        <w:tc>
          <w:tcPr>
            <w:tcW w:w="6256" w:type="dxa"/>
            <w:vAlign w:val="center"/>
          </w:tcPr>
          <w:p w14:paraId="6BB2CA16">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5F02DA0A">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6567F2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5E054A8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1.《中华人民共和国大气污染防治法》（2018年修订）</w:t>
            </w:r>
          </w:p>
          <w:p w14:paraId="24B627F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p w14:paraId="2F4B118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第九十九条 第二项  违反本法规定，有下列行为之一的，由县级以上人民政府生态环境主管部门责令改正或者限制生产、停产整治，并处十万元以上一百万元以下的罚款；情节严重的，报经有批准权的人民政府批准，责令停业、关闭：</w:t>
            </w:r>
          </w:p>
          <w:p w14:paraId="164A886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 xml:space="preserve">（二）超过大气污染物排放标准或者超过重点大气污染物排放总量控制指标排放大气污染物的。 </w:t>
            </w:r>
          </w:p>
          <w:p w14:paraId="2A4EAB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2.《排污许可管理条例》（国务院令（第736号）</w:t>
            </w:r>
          </w:p>
          <w:p w14:paraId="15ECBE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20C3EA8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（一）超过许可排放浓度、许可排放量排放污染物。</w:t>
            </w:r>
            <w:r>
              <w:rPr>
                <w:rFonts w:ascii="Times New Roman" w:hAnsi="Times New Roman" w:eastAsia="楷体" w:cs="Times New Roman"/>
                <w:sz w:val="22"/>
                <w:szCs w:val="22"/>
              </w:rPr>
              <w:t>】</w:t>
            </w:r>
          </w:p>
          <w:p w14:paraId="67D73814">
            <w:pPr>
              <w:keepNext w:val="0"/>
              <w:keepLines w:val="0"/>
              <w:widowControl/>
              <w:suppressLineNumbers w:val="0"/>
              <w:ind w:firstLine="540" w:firstLineChars="200"/>
              <w:jc w:val="left"/>
              <w:rPr>
                <w:lang w:val="en-US" w:eastAsia="zh-CN"/>
              </w:rPr>
            </w:pPr>
            <w:r>
              <w:rPr>
                <w:rFonts w:ascii="微软雅黑" w:hAnsi="微软雅黑" w:eastAsia="微软雅黑" w:cs="微软雅黑"/>
                <w:i w:val="0"/>
                <w:iCs w:val="0"/>
                <w:caps w:val="0"/>
                <w:smallCaps w:val="0"/>
                <w:color w:val="4C4C4C"/>
                <w:spacing w:val="0"/>
                <w:kern w:val="0"/>
                <w:sz w:val="27"/>
                <w:szCs w:val="27"/>
                <w:shd w:val="clear" w:color="auto" w:fill="FFFFFF"/>
                <w:lang w:val="en-US" w:eastAsia="zh-CN"/>
              </w:rPr>
              <w:t>　</w:t>
            </w:r>
            <w:r>
              <w:rPr>
                <w:rFonts w:hint="eastAsia" w:ascii="微软雅黑" w:hAnsi="微软雅黑" w:eastAsia="微软雅黑" w:cs="微软雅黑"/>
                <w:i w:val="0"/>
                <w:iCs w:val="0"/>
                <w:caps w:val="0"/>
                <w:smallCaps w:val="0"/>
                <w:color w:val="4C4C4C"/>
                <w:spacing w:val="0"/>
                <w:kern w:val="0"/>
                <w:sz w:val="27"/>
                <w:szCs w:val="27"/>
                <w:shd w:val="clear" w:color="auto" w:fill="FFFFFF"/>
                <w:lang w:val="en-US" w:eastAsia="zh-CN"/>
              </w:rPr>
              <w:t xml:space="preserve"> </w:t>
            </w:r>
          </w:p>
        </w:tc>
        <w:tc>
          <w:tcPr>
            <w:tcW w:w="1910" w:type="dxa"/>
            <w:gridSpan w:val="2"/>
            <w:vAlign w:val="center"/>
          </w:tcPr>
          <w:p w14:paraId="1086AD9C">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b w:val="0"/>
                <w:color w:val="auto"/>
                <w:sz w:val="22"/>
                <w:szCs w:val="22"/>
                <w:highlight w:val="none"/>
                <w:u w:val="none"/>
                <w:lang w:val="en-US" w:eastAsia="zh-CN" w:bidi="ar-SA"/>
              </w:rPr>
            </w:pPr>
            <w:r>
              <w:rPr>
                <w:rFonts w:hint="eastAsia" w:ascii="仿宋_GB2312" w:eastAsia="仿宋_GB2312" w:cs="宋体"/>
                <w:b w:val="0"/>
                <w:color w:val="auto"/>
                <w:sz w:val="22"/>
                <w:szCs w:val="22"/>
                <w:highlight w:val="none"/>
                <w:u w:val="none"/>
                <w:lang w:val="en-US" w:eastAsia="zh-CN" w:bidi="ar-SA"/>
              </w:rPr>
              <w:t>对明显不符合产业政策和当地产业布局规划、相关环保手续不全等的企业不予适用；特殊或重大活动期间、重污染天气预警期间发生的超标排放行为不予适用；超过重点污染物排放总量控制指标或未完成环境质量改善目标的地区的案件不予适用。</w:t>
            </w:r>
            <w:r>
              <w:rPr>
                <w:rFonts w:hint="eastAsia" w:ascii="仿宋_GB2312" w:eastAsia="仿宋_GB2312" w:cs="宋体"/>
                <w:b w:val="0"/>
                <w:color w:val="auto"/>
                <w:sz w:val="22"/>
                <w:szCs w:val="22"/>
                <w:highlight w:val="none"/>
                <w:u w:val="none"/>
                <w:lang w:val="en-US" w:eastAsia="zh-CN" w:bidi="ar-SA"/>
              </w:rPr>
              <w:br w:type="textWrapping"/>
            </w:r>
          </w:p>
          <w:p w14:paraId="27F03E77">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b w:val="0"/>
                <w:color w:val="auto"/>
                <w:sz w:val="22"/>
                <w:szCs w:val="22"/>
                <w:highlight w:val="none"/>
                <w:u w:val="none"/>
                <w:lang w:val="en-US" w:eastAsia="zh-CN" w:bidi="ar-SA"/>
              </w:rPr>
            </w:pPr>
          </w:p>
        </w:tc>
      </w:tr>
    </w:tbl>
    <w:p w14:paraId="074570F1">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Spec="center" w:tblpY="1"/>
        <w:tblOverlap w:val="never"/>
        <w:tblW w:w="14631"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05"/>
        <w:gridCol w:w="1676"/>
        <w:gridCol w:w="3968"/>
        <w:gridCol w:w="6246"/>
        <w:gridCol w:w="1936"/>
      </w:tblGrid>
      <w:tr w14:paraId="7C757F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38" w:hRule="atLeast"/>
        </w:trPr>
        <w:tc>
          <w:tcPr>
            <w:tcW w:w="805" w:type="dxa"/>
            <w:vAlign w:val="center"/>
          </w:tcPr>
          <w:p w14:paraId="08CC124E">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10</w:t>
            </w:r>
          </w:p>
        </w:tc>
        <w:tc>
          <w:tcPr>
            <w:tcW w:w="1676" w:type="dxa"/>
            <w:vAlign w:val="center"/>
          </w:tcPr>
          <w:p w14:paraId="32F55C00">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对超过污染物排放标准排放水污染物的处罚</w:t>
            </w:r>
            <w:r>
              <w:rPr>
                <w:rFonts w:ascii="Times New Roman" w:hAnsi="Times New Roman" w:eastAsia="楷体" w:cs="Times New Roman"/>
                <w:sz w:val="22"/>
                <w:szCs w:val="22"/>
              </w:rPr>
              <w:t>】</w:t>
            </w:r>
            <w:r>
              <w:rPr>
                <w:rFonts w:hint="eastAsia" w:ascii="仿宋_GB2312" w:cs="宋体"/>
                <w:b w:val="0"/>
                <w:color w:val="auto"/>
                <w:kern w:val="0"/>
                <w:sz w:val="22"/>
                <w:szCs w:val="22"/>
                <w:highlight w:val="yellow"/>
                <w:u w:val="none"/>
                <w:lang w:val="en-US" w:eastAsia="zh-CN"/>
              </w:rPr>
              <w:t>对超过排污许可证载明的许可排放限值或者</w:t>
            </w:r>
            <w:r>
              <w:rPr>
                <w:rFonts w:hint="eastAsia" w:ascii="仿宋_GB2312" w:eastAsia="仿宋_GB2312" w:cs="宋体"/>
                <w:b w:val="0"/>
                <w:color w:val="auto"/>
                <w:kern w:val="0"/>
                <w:sz w:val="22"/>
                <w:szCs w:val="22"/>
                <w:highlight w:val="yellow"/>
                <w:u w:val="none"/>
              </w:rPr>
              <w:t>超过污染物排放标准排放污染物的处罚</w:t>
            </w:r>
          </w:p>
        </w:tc>
        <w:tc>
          <w:tcPr>
            <w:tcW w:w="3968" w:type="dxa"/>
            <w:vAlign w:val="center"/>
          </w:tcPr>
          <w:p w14:paraId="71594FB9">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cs="宋体"/>
                <w:b w:val="0"/>
                <w:color w:val="auto"/>
                <w:sz w:val="22"/>
                <w:szCs w:val="22"/>
                <w:highlight w:val="yellow"/>
                <w:u w:val="none"/>
                <w:lang w:val="en-US" w:eastAsia="zh-CN" w:bidi="ar-SA"/>
              </w:rPr>
            </w:pPr>
            <w:r>
              <w:rPr>
                <w:rFonts w:hint="eastAsia" w:ascii="仿宋_GB2312" w:cs="宋体"/>
                <w:b w:val="0"/>
                <w:color w:val="auto"/>
                <w:sz w:val="22"/>
                <w:szCs w:val="22"/>
                <w:highlight w:val="yellow"/>
                <w:u w:val="none"/>
                <w:lang w:val="en-US" w:eastAsia="zh-CN" w:bidi="ar-SA"/>
              </w:rPr>
              <w:t>2.水污染物</w:t>
            </w:r>
          </w:p>
          <w:p w14:paraId="658FBD19">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kern w:val="0"/>
                <w:sz w:val="22"/>
                <w:szCs w:val="22"/>
                <w:highlight w:val="none"/>
                <w:u w:val="none"/>
                <w:lang w:val="en-US" w:eastAsia="zh-CN"/>
              </w:rPr>
            </w:pPr>
            <w:r>
              <w:rPr>
                <w:rFonts w:hint="eastAsia" w:ascii="仿宋_GB2312" w:cs="宋体"/>
                <w:color w:val="auto"/>
                <w:kern w:val="0"/>
                <w:sz w:val="22"/>
                <w:szCs w:val="22"/>
                <w:highlight w:val="yellow"/>
                <w:u w:val="none"/>
                <w:lang w:val="en-US" w:eastAsia="zh-CN"/>
              </w:rPr>
              <w:t>（1）</w:t>
            </w:r>
            <w:r>
              <w:rPr>
                <w:rFonts w:hint="eastAsia" w:ascii="仿宋_GB2312" w:eastAsia="仿宋_GB2312" w:cs="宋体"/>
                <w:color w:val="auto"/>
                <w:kern w:val="0"/>
                <w:sz w:val="22"/>
                <w:szCs w:val="22"/>
                <w:highlight w:val="none"/>
                <w:u w:val="none"/>
                <w:lang w:val="en-US" w:eastAsia="zh-CN"/>
              </w:rPr>
              <w:t>除第一类污染物、有毒有害物质、放射性物质、重金属、持久性有机污染物之外，</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超标</w:t>
            </w:r>
            <w:r>
              <w:rPr>
                <w:rFonts w:ascii="Times New Roman" w:hAnsi="Times New Roman" w:eastAsia="楷体" w:cs="Times New Roman"/>
                <w:sz w:val="22"/>
                <w:szCs w:val="22"/>
              </w:rPr>
              <w:t>】</w:t>
            </w:r>
            <w:r>
              <w:rPr>
                <w:rFonts w:hint="eastAsia" w:ascii="仿宋_GB2312" w:hAnsi="Times New Roman" w:eastAsia="仿宋_GB2312" w:cs="宋体"/>
                <w:b w:val="0"/>
                <w:color w:val="auto"/>
                <w:kern w:val="2"/>
                <w:sz w:val="22"/>
                <w:szCs w:val="22"/>
                <w:highlight w:val="yellow"/>
                <w:u w:val="none"/>
                <w:lang w:val="en-US" w:eastAsia="zh-CN" w:bidi="ar-SA"/>
              </w:rPr>
              <w:t>超过限值或者标准</w:t>
            </w:r>
            <w:r>
              <w:rPr>
                <w:rFonts w:hint="eastAsia" w:ascii="仿宋_GB2312" w:eastAsia="仿宋_GB2312" w:cs="宋体"/>
                <w:color w:val="auto"/>
                <w:kern w:val="0"/>
                <w:sz w:val="22"/>
                <w:szCs w:val="22"/>
                <w:highlight w:val="none"/>
                <w:u w:val="none"/>
                <w:lang w:val="en-US" w:eastAsia="zh-CN"/>
              </w:rPr>
              <w:t>排放水污染物（不含色度）仅有一项污染物超</w:t>
            </w:r>
            <w:r>
              <w:rPr>
                <w:rFonts w:hint="eastAsia" w:ascii="仿宋_GB2312" w:hAnsi="Calibri" w:eastAsia="仿宋_GB2312" w:cs="宋体"/>
                <w:strike w:val="0"/>
                <w:dstrike w:val="0"/>
                <w:color w:val="auto"/>
                <w:kern w:val="2"/>
                <w:sz w:val="22"/>
                <w:szCs w:val="22"/>
                <w:highlight w:val="none"/>
                <w:u w:val="none"/>
                <w:lang w:val="en-US" w:eastAsia="zh-CN" w:bidi="ar-SA"/>
              </w:rPr>
              <w:t>过规定</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排放标准</w:t>
            </w:r>
            <w:r>
              <w:rPr>
                <w:rFonts w:ascii="Times New Roman" w:hAnsi="Times New Roman" w:eastAsia="楷体" w:cs="Times New Roman"/>
                <w:sz w:val="22"/>
                <w:szCs w:val="22"/>
              </w:rPr>
              <w:t>】</w:t>
            </w:r>
            <w:r>
              <w:rPr>
                <w:rFonts w:hint="eastAsia" w:ascii="仿宋_GB2312" w:eastAsia="仿宋_GB2312" w:cs="宋体"/>
                <w:b w:val="0"/>
                <w:color w:val="auto"/>
                <w:kern w:val="0"/>
                <w:sz w:val="22"/>
                <w:szCs w:val="22"/>
                <w:highlight w:val="yellow"/>
                <w:u w:val="none"/>
                <w:lang w:val="en-US" w:eastAsia="zh-CN"/>
              </w:rPr>
              <w:t>限值或者标准</w:t>
            </w:r>
            <w:r>
              <w:rPr>
                <w:rFonts w:hint="eastAsia" w:ascii="仿宋_GB2312" w:eastAsia="仿宋_GB2312" w:cs="宋体"/>
                <w:color w:val="auto"/>
                <w:kern w:val="0"/>
                <w:sz w:val="22"/>
                <w:szCs w:val="22"/>
                <w:highlight w:val="none"/>
                <w:u w:val="none"/>
                <w:lang w:val="en-US" w:eastAsia="zh-CN"/>
              </w:rPr>
              <w:t>且超标幅度不超过10%，并在次日内完成改正的；pH值超标幅度在±0.5以下，并在3个工作日内改正的。</w:t>
            </w:r>
          </w:p>
          <w:p w14:paraId="5710DE63">
            <w:pPr>
              <w:pStyle w:val="7"/>
              <w:ind w:firstLine="440" w:firstLineChars="200"/>
              <w:rPr>
                <w:rFonts w:hint="eastAsia" w:ascii="仿宋_GB2312" w:eastAsia="仿宋_GB2312" w:cs="宋体"/>
                <w:color w:val="auto"/>
                <w:kern w:val="0"/>
                <w:sz w:val="22"/>
                <w:szCs w:val="22"/>
                <w:highlight w:val="none"/>
                <w:u w:val="none"/>
                <w:lang w:val="en-US" w:eastAsia="zh-CN"/>
              </w:rPr>
            </w:pPr>
            <w:r>
              <w:rPr>
                <w:rFonts w:hint="eastAsia" w:ascii="仿宋_GB2312" w:eastAsia="仿宋_GB2312" w:cs="宋体"/>
                <w:color w:val="auto"/>
                <w:kern w:val="0"/>
                <w:sz w:val="22"/>
                <w:szCs w:val="22"/>
                <w:highlight w:val="none"/>
                <w:u w:val="none"/>
                <w:lang w:val="en-US" w:eastAsia="zh-CN"/>
              </w:rPr>
              <w:t>污水在线监控数据有效日均值</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超标</w:t>
            </w:r>
            <w:r>
              <w:rPr>
                <w:rFonts w:ascii="Times New Roman" w:hAnsi="Times New Roman" w:eastAsia="楷体" w:cs="Times New Roman"/>
                <w:sz w:val="22"/>
                <w:szCs w:val="22"/>
              </w:rPr>
              <w:t>】</w:t>
            </w:r>
            <w:r>
              <w:rPr>
                <w:rFonts w:hint="eastAsia" w:ascii="仿宋_GB2312" w:eastAsia="仿宋_GB2312" w:cs="宋体"/>
                <w:b w:val="0"/>
                <w:color w:val="auto"/>
                <w:kern w:val="0"/>
                <w:sz w:val="22"/>
                <w:szCs w:val="22"/>
                <w:highlight w:val="yellow"/>
                <w:u w:val="none"/>
                <w:lang w:val="en-US" w:eastAsia="zh-CN"/>
              </w:rPr>
              <w:t>超过规定限值或者标准</w:t>
            </w:r>
            <w:r>
              <w:rPr>
                <w:rFonts w:hint="eastAsia" w:ascii="仿宋_GB2312" w:eastAsia="仿宋_GB2312" w:cs="宋体"/>
                <w:b w:val="0"/>
                <w:color w:val="auto"/>
                <w:kern w:val="0"/>
                <w:sz w:val="22"/>
                <w:szCs w:val="22"/>
                <w:highlight w:val="none"/>
                <w:u w:val="none"/>
                <w:lang w:val="en-US" w:eastAsia="zh-CN"/>
              </w:rPr>
              <w:t>幅度不超过10%</w:t>
            </w:r>
            <w:r>
              <w:rPr>
                <w:rFonts w:hint="eastAsia" w:ascii="仿宋_GB2312" w:eastAsia="仿宋_GB2312" w:cs="宋体"/>
                <w:color w:val="auto"/>
                <w:kern w:val="0"/>
                <w:sz w:val="22"/>
                <w:szCs w:val="22"/>
                <w:highlight w:val="none"/>
                <w:u w:val="none"/>
                <w:lang w:val="en-US" w:eastAsia="zh-CN"/>
              </w:rPr>
              <w:t>，次日达标排放的。</w:t>
            </w:r>
          </w:p>
          <w:p w14:paraId="370F3E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（2）具备下列情形之一的排污者，</w:t>
            </w:r>
            <w:r>
              <w:rPr>
                <w:rFonts w:hint="eastAsia" w:ascii="仿宋_GB2312" w:cs="宋体"/>
                <w:b w:val="0"/>
                <w:color w:val="auto"/>
                <w:kern w:val="0"/>
                <w:sz w:val="22"/>
                <w:szCs w:val="22"/>
                <w:highlight w:val="yellow"/>
                <w:u w:val="none"/>
                <w:lang w:val="en-US" w:eastAsia="zh-CN"/>
              </w:rPr>
              <w:t>超过排污许可证载明的许可排放限值或者</w:t>
            </w:r>
            <w:r>
              <w:rPr>
                <w:rFonts w:hint="eastAsia" w:ascii="仿宋_GB2312" w:eastAsia="仿宋_GB2312" w:cs="宋体"/>
                <w:b w:val="0"/>
                <w:color w:val="auto"/>
                <w:kern w:val="0"/>
                <w:sz w:val="22"/>
                <w:szCs w:val="22"/>
                <w:highlight w:val="yellow"/>
                <w:u w:val="none"/>
              </w:rPr>
              <w:t>超过污染物排放标准排放污染物</w:t>
            </w:r>
            <w:r>
              <w:rPr>
                <w:rFonts w:hint="eastAsia" w:ascii="仿宋_GB2312" w:eastAsia="仿宋_GB2312" w:cs="宋体"/>
                <w:color w:val="auto"/>
                <w:sz w:val="22"/>
                <w:szCs w:val="22"/>
                <w:highlight w:val="yellow"/>
                <w:u w:val="none"/>
                <w:lang w:val="en-US" w:eastAsia="zh-CN" w:bidi="ar-SA"/>
              </w:rPr>
              <w:t>，不予实施停产整治：</w:t>
            </w:r>
          </w:p>
          <w:p w14:paraId="4CFA631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①城镇污水处理、垃圾处理、危险废物处置等公共设施的运营单位；</w:t>
            </w:r>
          </w:p>
          <w:p w14:paraId="204F93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②生产经营业务涉及基本民生、公共利益的；</w:t>
            </w:r>
          </w:p>
          <w:p w14:paraId="0D12DD67">
            <w:pPr>
              <w:pStyle w:val="7"/>
              <w:ind w:firstLine="440" w:firstLineChars="200"/>
              <w:rPr>
                <w:rFonts w:hint="eastAsia" w:ascii="仿宋_GB2312" w:eastAsia="仿宋_GB2312" w:cs="宋体"/>
                <w:color w:val="auto"/>
                <w:kern w:val="0"/>
                <w:sz w:val="22"/>
                <w:szCs w:val="22"/>
                <w:highlight w:val="none"/>
                <w:u w:val="none"/>
                <w:lang w:val="en-US" w:eastAsia="zh-CN"/>
              </w:rPr>
            </w:pPr>
            <w:r>
              <w:rPr>
                <w:rFonts w:hint="eastAsia" w:ascii="仿宋_GB2312" w:eastAsia="仿宋_GB2312" w:cs="宋体"/>
                <w:color w:val="auto"/>
                <w:sz w:val="22"/>
                <w:szCs w:val="22"/>
                <w:highlight w:val="yellow"/>
                <w:u w:val="none"/>
                <w:lang w:val="en-US" w:eastAsia="zh-CN" w:bidi="ar-SA"/>
              </w:rPr>
              <w:t>③实施停产整治可能影响生产安全的。</w:t>
            </w:r>
          </w:p>
        </w:tc>
        <w:tc>
          <w:tcPr>
            <w:tcW w:w="6246" w:type="dxa"/>
            <w:vAlign w:val="center"/>
          </w:tcPr>
          <w:p w14:paraId="23CBB739">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49FA7BC7">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017D5C8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379559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1.《中华人民共和国水污染防治法》（2017年修订）</w:t>
            </w:r>
          </w:p>
          <w:p w14:paraId="687DE44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第十条  排放水污染物，不得超过国家或者地方规定的水污染物排放标准和重点水污染物排放总量控制指标。</w:t>
            </w:r>
          </w:p>
          <w:p w14:paraId="21AD93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第八十三条 第二项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366AE7A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（二）超过水污染物排放标准或者超过重点水污染物排放总量控制指标排放水污染物的。</w:t>
            </w:r>
          </w:p>
          <w:p w14:paraId="0585782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2.《排污许可管理条例》（国务院令（第736号）</w:t>
            </w:r>
          </w:p>
          <w:p w14:paraId="1A5AAE7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4D78B32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超过许可排放浓度、许可排放量排放污染物。</w:t>
            </w:r>
          </w:p>
          <w:p w14:paraId="5381B7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3.《中华人民共和国海洋环境保护法》（2024年1月1日施行）</w:t>
            </w:r>
          </w:p>
          <w:p w14:paraId="61FE751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第四十六条　向海域排放陆源污染物，应当严格执行国家或者地方规定的标准和有关规定。</w:t>
            </w:r>
          </w:p>
          <w:p w14:paraId="656AEB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第九十三条　第一款 第（三）项  违反本法规定，有下列行为之一，由依照本法规定行使海洋环境监督管理权的部门或者机构责令改正或者责令采取限制生产、停产整治等措施，并处以罚款；情节严重的，报经有批准权的人民政府批准，责令停业、关闭：（三）超过标准、总量控制指标排放污染物的。</w:t>
            </w:r>
            <w:r>
              <w:rPr>
                <w:rFonts w:ascii="Times New Roman" w:hAnsi="Times New Roman" w:eastAsia="楷体" w:cs="Times New Roman"/>
                <w:sz w:val="22"/>
                <w:szCs w:val="22"/>
              </w:rPr>
              <w:t>】</w:t>
            </w:r>
          </w:p>
          <w:p w14:paraId="086F0531">
            <w:pPr>
              <w:keepNext w:val="0"/>
              <w:keepLines w:val="0"/>
              <w:widowControl/>
              <w:suppressLineNumbers w:val="0"/>
              <w:ind w:firstLine="540" w:firstLineChars="200"/>
              <w:jc w:val="left"/>
              <w:rPr>
                <w:rFonts w:hint="eastAsia"/>
                <w:lang w:val="en-US" w:eastAsia="zh-CN"/>
              </w:rPr>
            </w:pPr>
            <w:r>
              <w:rPr>
                <w:rFonts w:hint="eastAsia" w:ascii="微软雅黑" w:hAnsi="微软雅黑" w:eastAsia="微软雅黑" w:cs="微软雅黑"/>
                <w:i w:val="0"/>
                <w:iCs w:val="0"/>
                <w:caps w:val="0"/>
                <w:smallCaps w:val="0"/>
                <w:color w:val="4C4C4C"/>
                <w:spacing w:val="0"/>
                <w:kern w:val="0"/>
                <w:sz w:val="27"/>
                <w:szCs w:val="27"/>
                <w:shd w:val="clear" w:color="auto" w:fill="FFFFFF"/>
                <w:lang w:val="en-US" w:eastAsia="zh-CN"/>
              </w:rPr>
              <w:t xml:space="preserve">   </w:t>
            </w:r>
          </w:p>
        </w:tc>
        <w:tc>
          <w:tcPr>
            <w:tcW w:w="1936" w:type="dxa"/>
            <w:vAlign w:val="center"/>
          </w:tcPr>
          <w:p w14:paraId="758A3125">
            <w:pPr>
              <w:pStyle w:val="9"/>
              <w:rPr>
                <w:rFonts w:hint="eastAsia" w:ascii="仿宋_GB2312" w:hAnsi="Calibri" w:eastAsia="仿宋_GB2312" w:cs="宋体"/>
                <w:i w:val="0"/>
                <w:color w:val="auto"/>
                <w:kern w:val="2"/>
                <w:sz w:val="22"/>
                <w:szCs w:val="22"/>
                <w:highlight w:val="none"/>
                <w:u w:val="none"/>
                <w:lang w:val="en-US" w:eastAsia="zh-CN" w:bidi="ar-SA"/>
              </w:rPr>
            </w:pPr>
            <w:r>
              <w:rPr>
                <w:rFonts w:hint="eastAsia" w:ascii="仿宋_GB2312" w:hAnsi="Calibri" w:eastAsia="仿宋_GB2312" w:cs="宋体"/>
                <w:i w:val="0"/>
                <w:color w:val="auto"/>
                <w:kern w:val="2"/>
                <w:sz w:val="22"/>
                <w:szCs w:val="22"/>
                <w:highlight w:val="none"/>
                <w:u w:val="none"/>
                <w:lang w:val="en-US" w:eastAsia="zh-CN" w:bidi="ar-SA"/>
              </w:rPr>
              <w:t>受纳水体现状不能达到环境质量改善目标的地区的案件不予适用</w:t>
            </w:r>
          </w:p>
          <w:p w14:paraId="0C14C893">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cs="宋体"/>
                <w:color w:val="auto"/>
                <w:sz w:val="22"/>
                <w:szCs w:val="22"/>
                <w:highlight w:val="yellow"/>
                <w:u w:val="none"/>
                <w:lang w:val="en-US" w:eastAsia="zh-CN" w:bidi="ar-SA"/>
              </w:rPr>
            </w:pPr>
          </w:p>
          <w:p w14:paraId="0CC2024E">
            <w:pPr>
              <w:pStyle w:val="9"/>
              <w:ind w:firstLine="440" w:firstLineChars="200"/>
              <w:rPr>
                <w:rFonts w:ascii="仿宋_GB2312" w:hAnsi="Calibri" w:eastAsia="仿宋_GB2312" w:cs="宋体"/>
                <w:i w:val="0"/>
                <w:color w:val="auto"/>
                <w:kern w:val="2"/>
                <w:sz w:val="22"/>
                <w:szCs w:val="22"/>
                <w:highlight w:val="none"/>
                <w:u w:val="none"/>
                <w:lang w:val="en-US" w:eastAsia="zh-CN" w:bidi="ar-SA"/>
              </w:rPr>
            </w:pPr>
          </w:p>
        </w:tc>
      </w:tr>
    </w:tbl>
    <w:p w14:paraId="689E57B3">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Spec="center" w:tblpY="1"/>
        <w:tblOverlap w:val="never"/>
        <w:tblW w:w="14631"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06"/>
        <w:gridCol w:w="1675"/>
        <w:gridCol w:w="3968"/>
        <w:gridCol w:w="6261"/>
        <w:gridCol w:w="1921"/>
      </w:tblGrid>
      <w:tr w14:paraId="2CAD9F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7" w:hRule="atLeast"/>
        </w:trPr>
        <w:tc>
          <w:tcPr>
            <w:tcW w:w="806" w:type="dxa"/>
            <w:vAlign w:val="center"/>
          </w:tcPr>
          <w:p w14:paraId="3DC46C8C">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10</w:t>
            </w:r>
          </w:p>
        </w:tc>
        <w:tc>
          <w:tcPr>
            <w:tcW w:w="1675" w:type="dxa"/>
            <w:vAlign w:val="center"/>
          </w:tcPr>
          <w:p w14:paraId="7F6E76E2">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对产生环境噪声超过国家规定的</w:t>
            </w:r>
            <w:r>
              <w:rPr>
                <w:rFonts w:hint="eastAsia" w:ascii="仿宋_GB2312" w:hAnsi="Calibri" w:eastAsia="仿宋_GB2312" w:cs="宋体"/>
                <w:strike w:val="0"/>
                <w:dstrike w:val="0"/>
                <w:color w:val="auto"/>
                <w:kern w:val="2"/>
                <w:sz w:val="22"/>
                <w:szCs w:val="22"/>
                <w:highlight w:val="lightGray"/>
                <w:u w:val="none"/>
                <w:lang w:val="en-US" w:eastAsia="zh-CN" w:bidi="ar-SA"/>
              </w:rPr>
              <w:fldChar w:fldCharType="begin"/>
            </w:r>
            <w:r>
              <w:instrText xml:space="preserve">HYPERLINK "https://baike.baidu.com/item/%E7%8E%AF%E5%A2%83%E5%99%AA%E5%A3%B0%E6%8E%92%E6%94%BE%E6%A0%87%E5%87%86/0?fromModule=lemma_inlink"</w:instrText>
            </w:r>
            <w:r>
              <w:rPr>
                <w:rFonts w:hint="eastAsia" w:ascii="仿宋_GB2312" w:hAnsi="Calibri" w:eastAsia="仿宋_GB2312" w:cs="宋体"/>
                <w:strike w:val="0"/>
                <w:dstrike w:val="0"/>
                <w:color w:val="auto"/>
                <w:kern w:val="2"/>
                <w:sz w:val="22"/>
                <w:szCs w:val="22"/>
                <w:highlight w:val="lightGray"/>
                <w:u w:val="none"/>
                <w:lang w:val="en-US" w:eastAsia="zh-CN" w:bidi="ar-SA"/>
              </w:rPr>
              <w:fldChar w:fldCharType="separate"/>
            </w:r>
            <w:r>
              <w:rPr>
                <w:rFonts w:hint="eastAsia" w:ascii="仿宋_GB2312" w:hAnsi="Calibri" w:eastAsia="仿宋_GB2312" w:cs="宋体"/>
                <w:strike w:val="0"/>
                <w:dstrike w:val="0"/>
                <w:color w:val="auto"/>
                <w:kern w:val="2"/>
                <w:sz w:val="22"/>
                <w:szCs w:val="22"/>
                <w:highlight w:val="lightGray"/>
                <w:u w:val="none"/>
                <w:lang w:val="en-US" w:eastAsia="zh-CN" w:bidi="ar-SA"/>
              </w:rPr>
              <w:t>环境噪声排放标准</w:t>
            </w:r>
            <w:r>
              <w:rPr>
                <w:rFonts w:hint="eastAsia" w:ascii="仿宋_GB2312" w:hAnsi="Calibri" w:eastAsia="仿宋_GB2312" w:cs="宋体"/>
                <w:strike w:val="0"/>
                <w:dstrike w:val="0"/>
                <w:color w:val="auto"/>
                <w:kern w:val="2"/>
                <w:sz w:val="22"/>
                <w:szCs w:val="22"/>
                <w:highlight w:val="lightGray"/>
                <w:u w:val="none"/>
                <w:lang w:val="en-US" w:eastAsia="zh-CN" w:bidi="ar-SA"/>
              </w:rPr>
              <w:fldChar w:fldCharType="end"/>
            </w:r>
            <w:r>
              <w:rPr>
                <w:rFonts w:hint="eastAsia" w:ascii="仿宋_GB2312" w:hAnsi="Calibri" w:eastAsia="仿宋_GB2312" w:cs="宋体"/>
                <w:strike w:val="0"/>
                <w:dstrike w:val="0"/>
                <w:color w:val="auto"/>
                <w:kern w:val="2"/>
                <w:sz w:val="22"/>
                <w:szCs w:val="22"/>
                <w:highlight w:val="lightGray"/>
                <w:u w:val="none"/>
                <w:lang w:val="en-US" w:eastAsia="zh-CN" w:bidi="ar-SA"/>
              </w:rPr>
              <w:t>的处罚</w:t>
            </w:r>
            <w:r>
              <w:rPr>
                <w:rFonts w:ascii="Times New Roman" w:hAnsi="Times New Roman" w:eastAsia="楷体" w:cs="Times New Roman"/>
                <w:sz w:val="22"/>
                <w:szCs w:val="22"/>
              </w:rPr>
              <w:t>】</w:t>
            </w:r>
            <w:r>
              <w:rPr>
                <w:rFonts w:hint="eastAsia" w:ascii="仿宋_GB2312" w:cs="宋体"/>
                <w:b w:val="0"/>
                <w:color w:val="auto"/>
                <w:kern w:val="0"/>
                <w:sz w:val="22"/>
                <w:szCs w:val="22"/>
                <w:highlight w:val="yellow"/>
                <w:u w:val="none"/>
                <w:lang w:val="en-US" w:eastAsia="zh-CN"/>
              </w:rPr>
              <w:t>对超过排污许可证载明的许可排放限值或者</w:t>
            </w:r>
            <w:r>
              <w:rPr>
                <w:rFonts w:hint="eastAsia" w:ascii="仿宋_GB2312" w:eastAsia="仿宋_GB2312" w:cs="宋体"/>
                <w:b w:val="0"/>
                <w:color w:val="auto"/>
                <w:kern w:val="0"/>
                <w:sz w:val="22"/>
                <w:szCs w:val="22"/>
                <w:highlight w:val="yellow"/>
                <w:u w:val="none"/>
              </w:rPr>
              <w:t>超过污染物排放标准排放污染物的处罚</w:t>
            </w:r>
          </w:p>
        </w:tc>
        <w:tc>
          <w:tcPr>
            <w:tcW w:w="3968" w:type="dxa"/>
            <w:vAlign w:val="center"/>
          </w:tcPr>
          <w:p w14:paraId="2870E82D">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3.环境噪声</w:t>
            </w:r>
          </w:p>
          <w:p w14:paraId="7258C133">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超过</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国家和地方规定的噪声排放标准</w:t>
            </w:r>
            <w:r>
              <w:rPr>
                <w:rFonts w:ascii="Times New Roman" w:hAnsi="Times New Roman" w:eastAsia="楷体" w:cs="Times New Roman"/>
                <w:sz w:val="22"/>
                <w:szCs w:val="22"/>
              </w:rPr>
              <w:t>】</w:t>
            </w:r>
            <w:r>
              <w:rPr>
                <w:rFonts w:hint="eastAsia" w:ascii="仿宋_GB2312" w:hAnsi="Calibri" w:eastAsia="仿宋_GB2312" w:cs="宋体"/>
                <w:strike w:val="0"/>
                <w:dstrike w:val="0"/>
                <w:color w:val="auto"/>
                <w:kern w:val="2"/>
                <w:sz w:val="22"/>
                <w:szCs w:val="22"/>
                <w:highlight w:val="yellow"/>
                <w:u w:val="none"/>
                <w:lang w:val="en-US" w:eastAsia="zh-CN" w:bidi="ar-SA"/>
              </w:rPr>
              <w:t>规定限</w:t>
            </w:r>
            <w:r>
              <w:rPr>
                <w:rFonts w:hint="eastAsia" w:ascii="仿宋_GB2312" w:hAnsi="Calibri" w:cs="宋体"/>
                <w:strike w:val="0"/>
                <w:dstrike w:val="0"/>
                <w:color w:val="auto"/>
                <w:kern w:val="2"/>
                <w:sz w:val="22"/>
                <w:szCs w:val="22"/>
                <w:highlight w:val="yellow"/>
                <w:u w:val="none"/>
                <w:lang w:val="en-US" w:eastAsia="zh-CN" w:bidi="ar-SA"/>
              </w:rPr>
              <w:t>值</w:t>
            </w:r>
            <w:r>
              <w:rPr>
                <w:rFonts w:hint="eastAsia" w:ascii="仿宋_GB2312" w:hAnsi="Calibri" w:eastAsia="仿宋_GB2312" w:cs="宋体"/>
                <w:strike w:val="0"/>
                <w:dstrike w:val="0"/>
                <w:color w:val="auto"/>
                <w:kern w:val="2"/>
                <w:sz w:val="22"/>
                <w:szCs w:val="22"/>
                <w:highlight w:val="yellow"/>
                <w:u w:val="none"/>
                <w:lang w:val="en-US" w:eastAsia="zh-CN" w:bidi="ar-SA"/>
              </w:rPr>
              <w:t>或者标准</w:t>
            </w:r>
            <w:r>
              <w:rPr>
                <w:rFonts w:hint="eastAsia" w:ascii="仿宋_GB2312" w:eastAsia="仿宋_GB2312" w:cs="宋体"/>
                <w:color w:val="auto"/>
                <w:sz w:val="22"/>
                <w:szCs w:val="22"/>
                <w:highlight w:val="none"/>
                <w:u w:val="none"/>
                <w:lang w:val="en-US" w:eastAsia="zh-CN" w:bidi="ar-SA"/>
              </w:rPr>
              <w:t>在1分贝以下，未造成其他环境污染后果，并在责令改正期限内改正。</w:t>
            </w:r>
          </w:p>
        </w:tc>
        <w:tc>
          <w:tcPr>
            <w:tcW w:w="6261" w:type="dxa"/>
            <w:vAlign w:val="center"/>
          </w:tcPr>
          <w:p w14:paraId="1A4C4520">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42E9881D">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5FE05724">
            <w:pPr>
              <w:keepNext w:val="0"/>
              <w:keepLines w:val="0"/>
              <w:widowControl/>
              <w:suppressLineNumbers w:val="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ascii="微软雅黑" w:hAnsi="微软雅黑" w:eastAsia="微软雅黑" w:cs="微软雅黑"/>
                <w:i w:val="0"/>
                <w:iCs w:val="0"/>
                <w:caps w:val="0"/>
                <w:smallCaps w:val="0"/>
                <w:color w:val="4C4C4C"/>
                <w:spacing w:val="0"/>
                <w:kern w:val="0"/>
                <w:sz w:val="27"/>
                <w:szCs w:val="27"/>
                <w:shd w:val="clear" w:color="auto" w:fill="FFFFFF"/>
                <w:lang w:val="en-US" w:eastAsia="zh-CN"/>
              </w:rPr>
              <w:t>　</w:t>
            </w:r>
            <w:r>
              <w:rPr>
                <w:rFonts w:hint="eastAsia" w:ascii="微软雅黑" w:hAnsi="微软雅黑" w:eastAsia="微软雅黑" w:cs="微软雅黑"/>
                <w:i w:val="0"/>
                <w:iCs w:val="0"/>
                <w:caps w:val="0"/>
                <w:smallCaps w:val="0"/>
                <w:color w:val="4C4C4C"/>
                <w:spacing w:val="0"/>
                <w:kern w:val="0"/>
                <w:sz w:val="27"/>
                <w:szCs w:val="27"/>
                <w:shd w:val="clear" w:color="auto" w:fill="FFFFFF"/>
                <w:lang w:val="en-US" w:eastAsia="zh-CN"/>
              </w:rPr>
              <w:t xml:space="preserve"> </w:t>
            </w: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34ABC1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1.《中华人民共和国环境噪声污染防治法》（2018年修订）</w:t>
            </w:r>
          </w:p>
          <w:p w14:paraId="1AD68D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第十七条  对于在噪声敏感建筑物集中区域内造成严重环境噪声污染的企业事业单位，限期治理。</w:t>
            </w:r>
          </w:p>
          <w:p w14:paraId="1A3862D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被限期治理的单位必须按期完成治理任务。限期治理由县级以上人民政府按照国务院规定的权限决定。</w:t>
            </w:r>
          </w:p>
          <w:p w14:paraId="3C3FD0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对小型企业事业单位的限期治理，可以由县级以上人民政府在国务院规定的权限内授权其生态环境主管部门决定。</w:t>
            </w:r>
          </w:p>
          <w:p w14:paraId="49A726B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第五十二条　违反本法第十七条的规定，对经限期治理逾期未完成治理任务的企业事业单位，除依照国家规定加收超标准排污费外，可以根据所造成的危害后果处以罚款，或者责令停业、搬迁、关闭。</w:t>
            </w:r>
          </w:p>
          <w:p w14:paraId="0538CB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前款规定的罚款由生态环境主管部门决定。责令停业、搬迁、关闭由县级以上人民政府按照国务院规定的权限决定。</w:t>
            </w:r>
          </w:p>
          <w:p w14:paraId="50949F3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2.《排污许可管理条例》（国务院令第736号）</w:t>
            </w:r>
          </w:p>
          <w:p w14:paraId="7F09010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0B98D36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超过许可排放浓度、许可排放量排放污染物。</w:t>
            </w:r>
            <w:r>
              <w:rPr>
                <w:rFonts w:ascii="Times New Roman" w:hAnsi="Times New Roman" w:eastAsia="楷体" w:cs="Times New Roman"/>
                <w:sz w:val="22"/>
                <w:szCs w:val="22"/>
              </w:rPr>
              <w:t>】</w:t>
            </w:r>
          </w:p>
          <w:p w14:paraId="77BDAE77">
            <w:pPr>
              <w:pStyle w:val="2"/>
              <w:rPr>
                <w:rFonts w:hint="eastAsia"/>
                <w:lang w:val="en-US" w:eastAsia="zh-CN"/>
              </w:rPr>
            </w:pPr>
          </w:p>
          <w:p w14:paraId="53C5BAF9">
            <w:pPr>
              <w:pStyle w:val="2"/>
              <w:numPr>
                <w:ilvl w:val="0"/>
                <w:numId w:val="0"/>
              </w:numPr>
              <w:rPr>
                <w:lang w:val="en-US" w:eastAsia="zh-CN"/>
              </w:rPr>
            </w:pPr>
          </w:p>
        </w:tc>
        <w:tc>
          <w:tcPr>
            <w:tcW w:w="1921" w:type="dxa"/>
            <w:vAlign w:val="center"/>
          </w:tcPr>
          <w:p w14:paraId="1631BDFD">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bl>
    <w:p w14:paraId="4BE8E7EC">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Spec="center" w:tblpY="1"/>
        <w:tblOverlap w:val="never"/>
        <w:tblW w:w="14563"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05"/>
        <w:gridCol w:w="1671"/>
        <w:gridCol w:w="3941"/>
        <w:gridCol w:w="6259"/>
        <w:gridCol w:w="1887"/>
      </w:tblGrid>
      <w:tr w14:paraId="65F538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7" w:hRule="atLeast"/>
        </w:trPr>
        <w:tc>
          <w:tcPr>
            <w:tcW w:w="805" w:type="dxa"/>
            <w:vAlign w:val="center"/>
          </w:tcPr>
          <w:p w14:paraId="62395A9A">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宋体" w:hAnsi="宋体" w:eastAsia="宋体" w:cs="宋体"/>
                <w:color w:val="000000"/>
                <w:spacing w:val="0"/>
                <w:sz w:val="24"/>
                <w:szCs w:val="24"/>
                <w:highlight w:val="yellow"/>
                <w:u w:val="none"/>
                <w:shd w:val="clear" w:color="auto" w:fill="FFFFFF"/>
                <w:lang w:val="en-US" w:eastAsia="zh-CN" w:bidi="ar-SA"/>
              </w:rPr>
            </w:pPr>
            <w:r>
              <w:rPr>
                <w:rFonts w:hint="eastAsia" w:ascii="仿宋_GB2312" w:eastAsia="仿宋_GB2312" w:cs="宋体"/>
                <w:color w:val="auto"/>
                <w:sz w:val="22"/>
                <w:szCs w:val="22"/>
                <w:highlight w:val="yellow"/>
                <w:u w:val="none"/>
                <w:lang w:val="en-US" w:eastAsia="zh-CN" w:bidi="ar-SA"/>
              </w:rPr>
              <w:t>1</w:t>
            </w:r>
            <w:r>
              <w:rPr>
                <w:rFonts w:hint="eastAsia" w:ascii="仿宋_GB2312" w:cs="宋体"/>
                <w:color w:val="auto"/>
                <w:sz w:val="22"/>
                <w:szCs w:val="22"/>
                <w:highlight w:val="yellow"/>
                <w:u w:val="none"/>
                <w:lang w:val="en-US" w:eastAsia="zh-CN" w:bidi="ar-SA"/>
              </w:rPr>
              <w:t>1</w:t>
            </w:r>
          </w:p>
          <w:p w14:paraId="0D001484">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宋体" w:hAnsi="宋体" w:eastAsia="宋体" w:cs="宋体"/>
                <w:color w:val="000000"/>
                <w:spacing w:val="0"/>
                <w:kern w:val="2"/>
                <w:sz w:val="24"/>
                <w:szCs w:val="24"/>
                <w:highlight w:val="none"/>
                <w:u w:val="none"/>
                <w:shd w:val="clear" w:color="auto" w:fill="FFFFFF"/>
                <w:lang w:val="en-US" w:eastAsia="zh-CN" w:bidi="ar-SA"/>
              </w:rPr>
            </w:pPr>
          </w:p>
        </w:tc>
        <w:tc>
          <w:tcPr>
            <w:tcW w:w="1671" w:type="dxa"/>
            <w:vAlign w:val="center"/>
          </w:tcPr>
          <w:p w14:paraId="3FC6D705">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对易产生扬尘的物料露天堆放的处罚</w:t>
            </w:r>
          </w:p>
        </w:tc>
        <w:tc>
          <w:tcPr>
            <w:tcW w:w="3941" w:type="dxa"/>
            <w:vAlign w:val="center"/>
          </w:tcPr>
          <w:p w14:paraId="39CD0C47">
            <w:pPr>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露天堆放的易产生扬尘的物料</w:t>
            </w:r>
            <w:r>
              <w:rPr>
                <w:rFonts w:hint="eastAsia" w:ascii="仿宋_GB2312" w:hAnsi="Calibri" w:eastAsia="仿宋_GB2312" w:cs="宋体"/>
                <w:color w:val="auto"/>
                <w:kern w:val="2"/>
                <w:sz w:val="22"/>
                <w:szCs w:val="22"/>
                <w:highlight w:val="none"/>
                <w:u w:val="none"/>
                <w:lang w:val="en-US" w:eastAsia="zh-CN" w:bidi="ar-SA"/>
              </w:rPr>
              <w:t>占地面积在</w:t>
            </w:r>
            <w:r>
              <w:rPr>
                <w:rFonts w:hint="eastAsia" w:ascii="仿宋_GB2312" w:eastAsia="仿宋_GB2312" w:cs="宋体"/>
                <w:color w:val="auto"/>
                <w:kern w:val="2"/>
                <w:sz w:val="22"/>
                <w:szCs w:val="22"/>
                <w:highlight w:val="none"/>
                <w:u w:val="none"/>
                <w:lang w:val="en-US" w:eastAsia="zh-CN" w:bidi="ar-SA"/>
              </w:rPr>
              <w:t>50</w:t>
            </w:r>
            <w:r>
              <w:rPr>
                <w:rFonts w:hint="eastAsia" w:ascii="仿宋_GB2312" w:hAnsi="Calibri" w:eastAsia="仿宋_GB2312" w:cs="宋体"/>
                <w:color w:val="auto"/>
                <w:kern w:val="2"/>
                <w:sz w:val="22"/>
                <w:szCs w:val="22"/>
                <w:highlight w:val="none"/>
                <w:u w:val="none"/>
                <w:lang w:val="en-US" w:eastAsia="zh-CN" w:bidi="ar-SA"/>
              </w:rPr>
              <w:t>平方米以下，违法行为持续时间不超过3个月，</w:t>
            </w:r>
            <w:r>
              <w:rPr>
                <w:rFonts w:hint="eastAsia" w:ascii="仿宋_GB2312" w:eastAsia="仿宋_GB2312" w:cs="宋体"/>
                <w:color w:val="auto"/>
                <w:kern w:val="2"/>
                <w:sz w:val="22"/>
                <w:szCs w:val="22"/>
                <w:highlight w:val="none"/>
                <w:u w:val="none"/>
                <w:lang w:val="en-US" w:eastAsia="zh-CN" w:bidi="ar-SA"/>
              </w:rPr>
              <w:t>且</w:t>
            </w:r>
            <w:r>
              <w:rPr>
                <w:rFonts w:hint="eastAsia" w:ascii="仿宋_GB2312" w:hAnsi="Calibri" w:eastAsia="仿宋_GB2312" w:cs="宋体"/>
                <w:color w:val="auto"/>
                <w:kern w:val="2"/>
                <w:sz w:val="22"/>
                <w:szCs w:val="22"/>
                <w:highlight w:val="none"/>
                <w:u w:val="none"/>
                <w:lang w:val="en-US" w:eastAsia="zh-CN" w:bidi="ar-SA"/>
              </w:rPr>
              <w:t>未</w:t>
            </w:r>
            <w:r>
              <w:rPr>
                <w:rFonts w:hint="eastAsia" w:ascii="仿宋_GB2312" w:eastAsia="仿宋_GB2312" w:cs="宋体"/>
                <w:color w:val="auto"/>
                <w:kern w:val="2"/>
                <w:sz w:val="22"/>
                <w:szCs w:val="22"/>
                <w:highlight w:val="none"/>
                <w:u w:val="none"/>
                <w:lang w:val="en-US" w:eastAsia="zh-CN" w:bidi="ar-SA"/>
              </w:rPr>
              <w:t>造成</w:t>
            </w:r>
            <w:r>
              <w:rPr>
                <w:rFonts w:hint="eastAsia" w:ascii="仿宋_GB2312" w:hAnsi="Calibri" w:eastAsia="仿宋_GB2312" w:cs="宋体"/>
                <w:color w:val="auto"/>
                <w:kern w:val="2"/>
                <w:sz w:val="22"/>
                <w:szCs w:val="22"/>
                <w:highlight w:val="none"/>
                <w:u w:val="none"/>
                <w:lang w:val="en-US" w:eastAsia="zh-CN" w:bidi="ar-SA"/>
              </w:rPr>
              <w:t>明显的扬散、流失、渗漏或其他环境污染</w:t>
            </w:r>
            <w:r>
              <w:rPr>
                <w:rFonts w:hint="eastAsia" w:ascii="仿宋_GB2312" w:eastAsia="仿宋_GB2312" w:cs="宋体"/>
                <w:color w:val="auto"/>
                <w:kern w:val="2"/>
                <w:sz w:val="22"/>
                <w:szCs w:val="22"/>
                <w:highlight w:val="none"/>
                <w:u w:val="none"/>
                <w:lang w:val="en-US" w:eastAsia="zh-CN" w:bidi="ar-SA"/>
              </w:rPr>
              <w:t>后果</w:t>
            </w:r>
            <w:r>
              <w:rPr>
                <w:rFonts w:hint="eastAsia" w:ascii="仿宋_GB2312" w:hAnsi="Calibri" w:eastAsia="仿宋_GB2312" w:cs="宋体"/>
                <w:color w:val="auto"/>
                <w:kern w:val="2"/>
                <w:sz w:val="22"/>
                <w:szCs w:val="22"/>
                <w:highlight w:val="none"/>
                <w:u w:val="none"/>
                <w:lang w:val="en-US" w:eastAsia="zh-CN" w:bidi="ar-SA"/>
              </w:rPr>
              <w:t>，</w:t>
            </w:r>
            <w:r>
              <w:rPr>
                <w:rFonts w:hint="eastAsia" w:ascii="仿宋_GB2312" w:cs="宋体"/>
                <w:color w:val="auto"/>
                <w:kern w:val="2"/>
                <w:sz w:val="22"/>
                <w:szCs w:val="22"/>
                <w:highlight w:val="none"/>
                <w:u w:val="none"/>
                <w:lang w:val="en-US" w:eastAsia="zh-CN" w:bidi="ar-SA"/>
              </w:rPr>
              <w:t>期间没有</w:t>
            </w:r>
            <w:r>
              <w:rPr>
                <w:rFonts w:hint="eastAsia" w:ascii="仿宋_GB2312" w:cs="宋体"/>
                <w:color w:val="auto"/>
                <w:kern w:val="2"/>
                <w:sz w:val="22"/>
                <w:szCs w:val="22"/>
                <w:highlight w:val="yellow"/>
                <w:u w:val="none"/>
                <w:lang w:val="en-US" w:eastAsia="zh-CN" w:bidi="ar-SA"/>
              </w:rPr>
              <w:t>发现</w:t>
            </w:r>
            <w:r>
              <w:rPr>
                <w:rFonts w:hint="eastAsia" w:ascii="仿宋_GB2312" w:hAnsi="Calibri" w:eastAsia="仿宋_GB2312" w:cs="宋体"/>
                <w:color w:val="auto"/>
                <w:kern w:val="2"/>
                <w:sz w:val="22"/>
                <w:szCs w:val="22"/>
                <w:highlight w:val="none"/>
                <w:u w:val="none"/>
                <w:lang w:val="en-US" w:eastAsia="zh-CN" w:bidi="ar-SA"/>
              </w:rPr>
              <w:t>其他违反固体废物管理要求的行为，</w:t>
            </w:r>
            <w:r>
              <w:rPr>
                <w:rFonts w:hint="eastAsia" w:ascii="仿宋_GB2312" w:eastAsia="仿宋_GB2312" w:cs="宋体"/>
                <w:color w:val="auto"/>
                <w:kern w:val="2"/>
                <w:sz w:val="22"/>
                <w:szCs w:val="22"/>
                <w:highlight w:val="none"/>
                <w:u w:val="none"/>
                <w:lang w:val="en-US" w:eastAsia="zh-CN" w:bidi="ar-SA"/>
              </w:rPr>
              <w:t>并当场改正</w:t>
            </w:r>
            <w:r>
              <w:rPr>
                <w:rFonts w:hint="eastAsia" w:ascii="仿宋_GB2312" w:hAnsi="Calibri" w:eastAsia="仿宋_GB2312" w:cs="宋体"/>
                <w:color w:val="auto"/>
                <w:kern w:val="2"/>
                <w:sz w:val="22"/>
                <w:szCs w:val="22"/>
                <w:highlight w:val="none"/>
                <w:u w:val="none"/>
                <w:lang w:val="en-US" w:eastAsia="zh-CN" w:bidi="ar-SA"/>
              </w:rPr>
              <w:t>的。</w:t>
            </w:r>
          </w:p>
        </w:tc>
        <w:tc>
          <w:tcPr>
            <w:tcW w:w="6259" w:type="dxa"/>
            <w:vAlign w:val="center"/>
          </w:tcPr>
          <w:p w14:paraId="181334C7">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2F862D3D">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第二百四十三条</w:t>
            </w:r>
            <w:r>
              <w:rPr>
                <w:rFonts w:hint="eastAsia" w:ascii="仿宋_GB2312" w:hAnsi="Calibri" w:eastAsia="仿宋_GB2312" w:cs="宋体"/>
                <w:strike w:val="0"/>
                <w:dstrike w:val="0"/>
                <w:color w:val="auto"/>
                <w:kern w:val="2"/>
                <w:sz w:val="22"/>
                <w:szCs w:val="22"/>
                <w:highlight w:val="yellow"/>
                <w:u w:val="none"/>
                <w:lang w:val="en-US" w:eastAsia="zh-CN" w:bidi="ar-SA"/>
              </w:rPr>
              <w:t>第一款</w:t>
            </w:r>
            <w:r>
              <w:rPr>
                <w:rFonts w:ascii="仿宋_GB2312" w:hAnsi="Calibri" w:eastAsia="仿宋_GB2312" w:cs="宋体"/>
                <w:strike w:val="0"/>
                <w:dstrike w:val="0"/>
                <w:color w:val="auto"/>
                <w:kern w:val="2"/>
                <w:sz w:val="22"/>
                <w:szCs w:val="22"/>
                <w:highlight w:val="yellow"/>
                <w:u w:val="none"/>
                <w:lang w:val="en-US" w:eastAsia="zh-CN" w:bidi="ar-SA"/>
              </w:rPr>
              <w:t>　贮存煤炭、煤矸石、煤渣、煤灰、水泥、石灰、石膏、砂土、铁矿石等易产生扬尘的物料应当密闭；不能密闭的，应当设置不低于堆放物高度的严密围挡，并采取有效覆盖措施防治扬尘污染。</w:t>
            </w:r>
          </w:p>
          <w:p w14:paraId="4B404D90">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第一千一百三十条　违反本法规定，有下列情形之一的，由生态环境等部门按照职责分工责令改正，处一万元以上十万元以下的罚款；拒不改正的，责令停工整治或者停业整治：</w:t>
            </w:r>
          </w:p>
          <w:p w14:paraId="682A6936">
            <w:pPr>
              <w:keepNext w:val="0"/>
              <w:keepLines w:val="0"/>
              <w:widowControl/>
              <w:suppressLineNumbers w:val="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　　</w:t>
            </w:r>
            <w:r>
              <w:rPr>
                <w:rFonts w:hint="eastAsia" w:ascii="仿宋_GB2312" w:hAnsi="Calibri" w:cs="宋体"/>
                <w:strike w:val="0"/>
                <w:dstrike w:val="0"/>
                <w:color w:val="auto"/>
                <w:kern w:val="2"/>
                <w:sz w:val="22"/>
                <w:szCs w:val="22"/>
                <w:highlight w:val="yellow"/>
                <w:u w:val="none"/>
                <w:lang w:val="en-US" w:eastAsia="zh-CN" w:bidi="ar-SA"/>
              </w:rPr>
              <w:t xml:space="preserve"> ……</w:t>
            </w:r>
          </w:p>
          <w:p w14:paraId="79FCFD31">
            <w:pPr>
              <w:keepNext w:val="0"/>
              <w:keepLines w:val="0"/>
              <w:widowControl/>
              <w:suppressLineNumbers w:val="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　　（二）未密闭贮存煤炭、煤矸石、煤渣、煤灰、水泥、石灰、石膏、砂土、铁矿石等易产生扬尘的物料；</w:t>
            </w:r>
          </w:p>
          <w:p w14:paraId="040F8001">
            <w:pPr>
              <w:keepNext w:val="0"/>
              <w:keepLines w:val="0"/>
              <w:widowControl/>
              <w:suppressLineNumbers w:val="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　　（三）对不能密闭贮存的易产生扬尘的物料，未设置不低于堆放物高度的严密围挡，或者未采取有效覆盖措施防治扬尘污染；</w:t>
            </w:r>
          </w:p>
          <w:p w14:paraId="24DFCA7D">
            <w:pPr>
              <w:keepNext w:val="0"/>
              <w:keepLines w:val="0"/>
              <w:widowControl/>
              <w:suppressLineNumbers w:val="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　　</w:t>
            </w:r>
            <w:r>
              <w:rPr>
                <w:rFonts w:hint="eastAsia" w:ascii="仿宋_GB2312" w:hAnsi="Calibri" w:cs="宋体"/>
                <w:strike w:val="0"/>
                <w:dstrike w:val="0"/>
                <w:color w:val="auto"/>
                <w:kern w:val="2"/>
                <w:sz w:val="22"/>
                <w:szCs w:val="22"/>
                <w:highlight w:val="yellow"/>
                <w:u w:val="none"/>
                <w:lang w:val="en-US" w:eastAsia="zh-CN" w:bidi="ar-SA"/>
              </w:rPr>
              <w:t>……。</w:t>
            </w:r>
          </w:p>
          <w:p w14:paraId="050AC2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《中华人民共和国大气污染防治法》（2018年修订）</w:t>
            </w:r>
          </w:p>
          <w:p w14:paraId="4602D6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第一百一十七条 第一项、第二项  违反本法规定，有下列行为之一的，由县级以上人民政府生态环境等主管部门按照职责责令改正，处一万元以上十万元以下的罚款；拒不改正的，责令停工整治或者停业整治：</w:t>
            </w:r>
          </w:p>
          <w:p w14:paraId="64983B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（一）未密闭煤炭、煤矸石、煤渣、煤灰、水泥、石灰、石膏、砂土等易产生扬尘的物料的；</w:t>
            </w:r>
          </w:p>
          <w:p w14:paraId="0B6F45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对不能密闭的易产生扬尘的物料，未设置不低于堆放物高度的严密围挡，或者未采取有效覆盖措施防治扬尘污染的。</w:t>
            </w:r>
          </w:p>
          <w:p w14:paraId="7146557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第一百一十七条 第一项、第二项  违反本法规定，有下列行为之一的，由县级以上人民政府生态环境等主管部门按照职责责令改正，处一万元以上十万元以下的罚款；拒不改正的，责令停工整治或者停业整治：</w:t>
            </w:r>
          </w:p>
          <w:p w14:paraId="71468E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（一）未密闭煤炭、煤矸石、煤渣、煤灰、水泥、石灰、石膏、砂土等易产生扬尘的物料的；</w:t>
            </w:r>
          </w:p>
          <w:p w14:paraId="2211006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highlight w:val="lightGray"/>
                <w:lang w:val="en-US" w:eastAsia="zh-CN"/>
              </w:rPr>
            </w:pPr>
            <w:r>
              <w:rPr>
                <w:rFonts w:hint="eastAsia" w:ascii="仿宋_GB2312" w:hAnsi="Calibri" w:eastAsia="仿宋_GB2312" w:cs="宋体"/>
                <w:strike w:val="0"/>
                <w:dstrike w:val="0"/>
                <w:color w:val="auto"/>
                <w:kern w:val="2"/>
                <w:sz w:val="22"/>
                <w:szCs w:val="22"/>
                <w:highlight w:val="lightGray"/>
                <w:u w:val="none"/>
                <w:lang w:val="en-US" w:eastAsia="zh-CN" w:bidi="ar-SA"/>
              </w:rPr>
              <w:t>（二）对不能密闭的易产生扬尘的物料，未设置不低于堆放物高度的严密围挡，或者未采取有效覆盖措施防治扬尘污染的</w:t>
            </w:r>
            <w:r>
              <w:rPr>
                <w:rFonts w:hint="eastAsia"/>
                <w:strike w:val="0"/>
                <w:dstrike w:val="0"/>
                <w:highlight w:val="lightGray"/>
                <w:lang w:val="en-US" w:eastAsia="zh-CN"/>
              </w:rPr>
              <w:t>。</w:t>
            </w:r>
            <w:r>
              <w:rPr>
                <w:rFonts w:ascii="Times New Roman" w:hAnsi="Times New Roman" w:eastAsia="楷体" w:cs="Times New Roman"/>
                <w:sz w:val="22"/>
                <w:szCs w:val="22"/>
              </w:rPr>
              <w:t>】</w:t>
            </w:r>
          </w:p>
          <w:p w14:paraId="364C931D">
            <w:pPr>
              <w:pStyle w:val="2"/>
              <w:rPr>
                <w:rFonts w:hint="eastAsia"/>
                <w:lang w:val="en-US" w:eastAsia="zh-CN"/>
              </w:rPr>
            </w:pPr>
          </w:p>
          <w:p w14:paraId="36B8C5F4">
            <w:pPr>
              <w:pStyle w:val="2"/>
              <w:rPr>
                <w:rFonts w:hint="eastAsia"/>
                <w:lang w:val="en-US" w:eastAsia="zh-CN"/>
              </w:rPr>
            </w:pPr>
          </w:p>
        </w:tc>
        <w:tc>
          <w:tcPr>
            <w:tcW w:w="1887" w:type="dxa"/>
            <w:vAlign w:val="center"/>
          </w:tcPr>
          <w:p w14:paraId="00BEE709">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eastAsia="仿宋_GB2312" w:cs="宋体"/>
                <w:color w:val="auto"/>
                <w:sz w:val="22"/>
                <w:szCs w:val="22"/>
                <w:highlight w:val="none"/>
                <w:u w:val="none"/>
                <w:lang w:val="en-US" w:eastAsia="zh-CN" w:bidi="ar-SA"/>
              </w:rPr>
            </w:pPr>
          </w:p>
        </w:tc>
      </w:tr>
    </w:tbl>
    <w:p w14:paraId="790C11C3">
      <w:pPr>
        <w:keepNext w:val="0"/>
        <w:keepLines w:val="0"/>
        <w:pageBreakBefore w:val="0"/>
        <w:widowControl w:val="0"/>
        <w:kinsoku/>
        <w:topLinePunct w:val="0"/>
        <w:bidi w:val="0"/>
        <w:snapToGrid/>
        <w:spacing w:beforeAutospacing="0" w:afterAutospacing="0"/>
        <w:rPr>
          <w:rFonts w:eastAsia="宋体"/>
          <w:sz w:val="21"/>
          <w:u w:val="none"/>
        </w:rPr>
      </w:pPr>
    </w:p>
    <w:p w14:paraId="2E580AD3">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1268" w:tblpY="1"/>
        <w:tblOverlap w:val="never"/>
        <w:tblW w:w="1452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80"/>
        <w:gridCol w:w="1560"/>
        <w:gridCol w:w="3928"/>
        <w:gridCol w:w="6273"/>
        <w:gridCol w:w="1881"/>
      </w:tblGrid>
      <w:tr w14:paraId="0E0EEB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00" w:hRule="atLeast"/>
        </w:trPr>
        <w:tc>
          <w:tcPr>
            <w:tcW w:w="880" w:type="dxa"/>
            <w:vMerge w:val="restart"/>
            <w:vAlign w:val="center"/>
          </w:tcPr>
          <w:p w14:paraId="2C137DBD">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宋体" w:hAnsi="宋体" w:eastAsia="宋体" w:cs="宋体"/>
                <w:color w:val="000000"/>
                <w:spacing w:val="0"/>
                <w:kern w:val="2"/>
                <w:sz w:val="24"/>
                <w:szCs w:val="24"/>
                <w:highlight w:val="none"/>
                <w:u w:val="none"/>
                <w:shd w:val="clear" w:color="auto" w:fill="FFFFFF"/>
                <w:lang w:val="en-US" w:eastAsia="zh-CN" w:bidi="ar-SA"/>
              </w:rPr>
            </w:pPr>
            <w:r>
              <w:rPr>
                <w:rFonts w:hint="eastAsia" w:ascii="仿宋_GB2312" w:cs="宋体"/>
                <w:color w:val="auto"/>
                <w:sz w:val="22"/>
                <w:szCs w:val="22"/>
                <w:highlight w:val="yellow"/>
                <w:u w:val="none"/>
                <w:lang w:val="en-US" w:eastAsia="zh-CN" w:bidi="ar-SA"/>
              </w:rPr>
              <w:t>12</w:t>
            </w:r>
          </w:p>
        </w:tc>
        <w:tc>
          <w:tcPr>
            <w:tcW w:w="1560" w:type="dxa"/>
            <w:vMerge w:val="restart"/>
            <w:vAlign w:val="center"/>
          </w:tcPr>
          <w:p w14:paraId="28095B95">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对未规范管理固体废物（不含危险废物）的处罚</w:t>
            </w:r>
          </w:p>
        </w:tc>
        <w:tc>
          <w:tcPr>
            <w:tcW w:w="3928" w:type="dxa"/>
            <w:vAlign w:val="center"/>
          </w:tcPr>
          <w:p w14:paraId="40BDFC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（1）贮存、运输、利用的单位未依法及时公开工业固体废物污染环境防治信息：</w:t>
            </w:r>
          </w:p>
          <w:p w14:paraId="43FEBC5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eastAsia="宋体"/>
                <w:sz w:val="21"/>
                <w:highlight w:val="none"/>
                <w:u w:val="none"/>
                <w:lang w:val="en-US" w:eastAsia="zh-CN"/>
              </w:rPr>
            </w:pPr>
            <w:r>
              <w:rPr>
                <w:rFonts w:hint="eastAsia" w:ascii="仿宋_GB2312" w:hAnsi="Calibri" w:eastAsia="仿宋_GB2312" w:cs="宋体"/>
                <w:strike w:val="0"/>
                <w:dstrike w:val="0"/>
                <w:color w:val="auto"/>
                <w:kern w:val="2"/>
                <w:sz w:val="22"/>
                <w:szCs w:val="22"/>
                <w:highlight w:val="lightGray"/>
                <w:u w:val="none"/>
                <w:lang w:val="en-US" w:eastAsia="zh-CN" w:bidi="ar-SA"/>
              </w:rPr>
              <w:t>违法行为持续时间不超过3个月，并在5个工作日内改正的。</w:t>
            </w:r>
            <w:r>
              <w:rPr>
                <w:rFonts w:ascii="Times New Roman" w:hAnsi="Times New Roman" w:eastAsia="楷体" w:cs="Times New Roman"/>
                <w:sz w:val="22"/>
                <w:szCs w:val="22"/>
              </w:rPr>
              <w:t>】</w:t>
            </w:r>
          </w:p>
        </w:tc>
        <w:tc>
          <w:tcPr>
            <w:tcW w:w="6273" w:type="dxa"/>
            <w:vMerge w:val="restart"/>
            <w:vAlign w:val="center"/>
          </w:tcPr>
          <w:p w14:paraId="44C57559">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56A116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第四百七十六条</w:t>
            </w:r>
            <w:r>
              <w:rPr>
                <w:rFonts w:hint="eastAsia" w:ascii="仿宋_GB2312" w:cs="宋体"/>
                <w:color w:val="auto"/>
                <w:sz w:val="22"/>
                <w:szCs w:val="22"/>
                <w:highlight w:val="yellow"/>
                <w:u w:val="none"/>
                <w:lang w:val="en-US" w:eastAsia="zh-CN" w:bidi="ar-SA"/>
              </w:rPr>
              <w:t>第二款</w:t>
            </w:r>
            <w:r>
              <w:rPr>
                <w:rFonts w:ascii="仿宋_GB2312" w:eastAsia="仿宋_GB2312" w:cs="宋体"/>
                <w:color w:val="auto"/>
                <w:sz w:val="22"/>
                <w:szCs w:val="22"/>
                <w:highlight w:val="yellow"/>
                <w:u w:val="none"/>
                <w:lang w:val="en-US" w:eastAsia="zh-CN" w:bidi="ar-SA"/>
              </w:rPr>
              <w:t>　</w:t>
            </w:r>
            <w:r>
              <w:rPr>
                <w:rFonts w:hint="eastAsia" w:ascii="仿宋_GB2312" w:cs="宋体"/>
                <w:color w:val="auto"/>
                <w:sz w:val="22"/>
                <w:szCs w:val="22"/>
                <w:highlight w:val="yellow"/>
                <w:u w:val="none"/>
                <w:lang w:val="en-US" w:eastAsia="zh-CN" w:bidi="ar-SA"/>
              </w:rPr>
              <w:t>转移固体废物出省、自治区、直辖市行政区域利用的，应当通过固体废物污染防治信息平台等提前将有关信息报送固体废物移出地和接受地省级人民政府生态环境主管部门。</w:t>
            </w:r>
          </w:p>
          <w:p w14:paraId="3DA2C82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第四百八十九条</w:t>
            </w:r>
            <w:r>
              <w:rPr>
                <w:rFonts w:hint="eastAsia" w:ascii="仿宋_GB2312" w:cs="宋体"/>
                <w:color w:val="auto"/>
                <w:sz w:val="22"/>
                <w:szCs w:val="22"/>
                <w:highlight w:val="yellow"/>
                <w:u w:val="none"/>
                <w:lang w:val="en-US" w:eastAsia="zh-CN" w:bidi="ar-SA"/>
              </w:rPr>
              <w:t>第一款</w:t>
            </w:r>
            <w:r>
              <w:rPr>
                <w:rFonts w:ascii="仿宋_GB2312" w:eastAsia="仿宋_GB2312" w:cs="宋体"/>
                <w:color w:val="auto"/>
                <w:sz w:val="22"/>
                <w:szCs w:val="22"/>
                <w:highlight w:val="yellow"/>
                <w:u w:val="none"/>
                <w:lang w:val="en-US" w:eastAsia="zh-CN" w:bidi="ar-SA"/>
              </w:rPr>
              <w:t>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r>
              <w:rPr>
                <w:rFonts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第四百九十四条第一款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r>
              <w:rPr>
                <w:rFonts w:hint="eastAsia" w:ascii="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第一千一百七十一条　违反本法规定，有下列情形之一的，由生态环境主管部门责令改正，没收违法所得，并处以罚款；情节严重的，报经有批准权的人民政府批准，责令停业、关闭：</w:t>
            </w:r>
          </w:p>
          <w:p w14:paraId="423C159B">
            <w:pPr>
              <w:keepNext w:val="0"/>
              <w:keepLines w:val="0"/>
              <w:widowControl/>
              <w:suppressLineNumbers w:val="0"/>
              <w:jc w:val="left"/>
              <w:rPr>
                <w:rFonts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　</w:t>
            </w:r>
            <w:r>
              <w:rPr>
                <w:rFonts w:hint="eastAsia" w:ascii="仿宋_GB2312" w:hAnsi="Calibri" w:cs="宋体"/>
                <w:strike w:val="0"/>
                <w:dstrike w:val="0"/>
                <w:color w:val="auto"/>
                <w:kern w:val="2"/>
                <w:sz w:val="22"/>
                <w:szCs w:val="22"/>
                <w:highlight w:val="yellow"/>
                <w:u w:val="none"/>
                <w:lang w:val="en-US" w:eastAsia="zh-CN" w:bidi="ar-SA"/>
              </w:rPr>
              <w:t xml:space="preserve">  ……</w:t>
            </w:r>
          </w:p>
          <w:p w14:paraId="769F55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（三）转移固体废物出省、自治区、直辖市行政区域利用，未提前报送信息；</w:t>
            </w:r>
          </w:p>
          <w:p w14:paraId="3A75B6F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（五）贮存工业固体废物未采取符合国家生态环境保护标准的防护措施；</w:t>
            </w:r>
          </w:p>
          <w:p w14:paraId="3301C8DC">
            <w:pPr>
              <w:keepNext w:val="0"/>
              <w:keepLines w:val="0"/>
              <w:widowControl/>
              <w:suppressLineNumbers w:val="0"/>
              <w:jc w:val="left"/>
              <w:rPr>
                <w:rFonts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 xml:space="preserve">    ……</w:t>
            </w:r>
          </w:p>
          <w:p w14:paraId="0B56301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有前款第三项情形的，处五万元以上五十万元以下的罚款；有前款除第三项以外情形之一的，处十万元以上一百万元以下的罚款。对前款第六项情形的处罚，有关法律、行政法规另有规定的，依照其规定。</w:t>
            </w:r>
          </w:p>
          <w:p w14:paraId="3507BED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cs="宋体"/>
                <w:color w:val="auto"/>
                <w:sz w:val="22"/>
                <w:szCs w:val="22"/>
                <w:highlight w:val="yellow"/>
                <w:u w:val="none"/>
                <w:lang w:val="en-US" w:eastAsia="zh-CN" w:bidi="ar-SA"/>
              </w:rPr>
              <w:t>违反本法规定，产生工业固体废物的单位未建立工业固体废物管理台账并如实记录的，由生态环境主管部门责令改正；拒不改正的，处五万元以上二十万元以下的罚款。</w:t>
            </w:r>
            <w:r>
              <w:rPr>
                <w:rFonts w:hint="eastAsia" w:ascii="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《中华人民共和国固体废物污染环境防治法》（2020年修订）</w:t>
            </w:r>
          </w:p>
          <w:p w14:paraId="769F5C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第二十九条 第二款  产生、收集、贮存、运输、利用、处置固体废物的单位，应当依法及时公开固体废物污染环境防治信息，主动接受社会监督。</w:t>
            </w:r>
          </w:p>
          <w:p w14:paraId="2B9F0B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第一百零二条 第一款 第一项、第六项、第八项、第十项  违反本法规定，有下列行为之一，由生态环境主管部门责令改正，处以罚款，没收违法所得；情节严重的，报经有批准权的人民政府批准，可以责令停业或者关闭：</w:t>
            </w:r>
          </w:p>
          <w:p w14:paraId="4B6E886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产生、收集、贮存、运输、利用、处置固体废物的单位未依法及时公开固体废物污染环境防治信息的；</w:t>
            </w:r>
          </w:p>
          <w:p w14:paraId="78C744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（六）转移固体废物出省、自治区、直辖市行政区域利用未报备案的；</w:t>
            </w:r>
          </w:p>
          <w:p w14:paraId="4B5CBC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（八）产生工业固体废物的单位未建立固体废物管理台账并如实记录的；</w:t>
            </w:r>
          </w:p>
          <w:p w14:paraId="7C4F54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（十）贮存工业固体废物未采取符合国家环境保护标准的防护措施的。</w:t>
            </w:r>
          </w:p>
          <w:p w14:paraId="0DA0B07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eastAsia="仿宋_GB2312" w:cs="宋体"/>
                <w:color w:val="auto"/>
                <w:sz w:val="22"/>
                <w:szCs w:val="22"/>
                <w:highlight w:val="none"/>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r>
              <w:rPr>
                <w:rFonts w:ascii="Times New Roman" w:hAnsi="Times New Roman" w:eastAsia="楷体" w:cs="Times New Roman"/>
                <w:sz w:val="22"/>
                <w:szCs w:val="22"/>
              </w:rPr>
              <w:t>】</w:t>
            </w:r>
            <w:r>
              <w:rPr>
                <w:rFonts w:hint="eastAsia" w:ascii="仿宋_GB2312" w:hAnsi="Calibri" w:eastAsia="仿宋_GB2312" w:cs="宋体"/>
                <w:strike w:val="0"/>
                <w:dstrike w:val="0"/>
                <w:color w:val="auto"/>
                <w:kern w:val="2"/>
                <w:sz w:val="22"/>
                <w:szCs w:val="22"/>
                <w:highlight w:val="lightGray"/>
                <w:u w:val="none"/>
                <w:lang w:val="en-US" w:eastAsia="zh-CN" w:bidi="ar-SA"/>
              </w:rPr>
              <w:br w:type="textWrapping"/>
            </w:r>
          </w:p>
        </w:tc>
        <w:tc>
          <w:tcPr>
            <w:tcW w:w="1881" w:type="dxa"/>
            <w:vMerge w:val="restart"/>
            <w:vAlign w:val="center"/>
          </w:tcPr>
          <w:p w14:paraId="4F5884F3">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6EEDD7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70" w:hRule="atLeast"/>
        </w:trPr>
        <w:tc>
          <w:tcPr>
            <w:tcW w:w="880" w:type="dxa"/>
            <w:vMerge w:val="continue"/>
            <w:vAlign w:val="center"/>
          </w:tcPr>
          <w:p w14:paraId="75B901CA"/>
        </w:tc>
        <w:tc>
          <w:tcPr>
            <w:tcW w:w="1560" w:type="dxa"/>
            <w:vMerge w:val="continue"/>
            <w:vAlign w:val="center"/>
          </w:tcPr>
          <w:p w14:paraId="03C08DB4"/>
        </w:tc>
        <w:tc>
          <w:tcPr>
            <w:tcW w:w="3928" w:type="dxa"/>
            <w:vAlign w:val="center"/>
          </w:tcPr>
          <w:p w14:paraId="2FCA622B">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yellow"/>
                <w:u w:val="none"/>
                <w:lang w:val="en-US" w:eastAsia="zh-CN" w:bidi="ar-SA"/>
              </w:rPr>
              <w:t>（1）</w:t>
            </w:r>
            <w:r>
              <w:rPr>
                <w:rFonts w:hint="eastAsia" w:ascii="仿宋_GB2312" w:eastAsia="仿宋_GB2312" w:cs="宋体"/>
                <w:color w:val="auto"/>
                <w:sz w:val="22"/>
                <w:szCs w:val="22"/>
                <w:highlight w:val="none"/>
                <w:u w:val="none"/>
                <w:lang w:val="en-US" w:eastAsia="zh-CN" w:bidi="ar-SA"/>
              </w:rPr>
              <w:t>产生工业固体废物的单位未建立固体废物管理台账</w:t>
            </w:r>
            <w:r>
              <w:rPr>
                <w:rFonts w:hint="eastAsia" w:ascii="仿宋_GB2312" w:eastAsia="仿宋_GB2312" w:cs="宋体"/>
                <w:color w:val="auto"/>
                <w:sz w:val="22"/>
                <w:szCs w:val="22"/>
                <w:highlight w:val="yellow"/>
                <w:u w:val="none"/>
                <w:lang w:val="en-US" w:eastAsia="zh-CN" w:bidi="ar-SA"/>
              </w:rPr>
              <w:t>并如实记录</w:t>
            </w:r>
            <w:r>
              <w:rPr>
                <w:rFonts w:hint="eastAsia" w:ascii="仿宋_GB2312" w:eastAsia="仿宋_GB2312" w:cs="宋体"/>
                <w:color w:val="auto"/>
                <w:sz w:val="22"/>
                <w:szCs w:val="22"/>
                <w:highlight w:val="none"/>
                <w:u w:val="none"/>
                <w:lang w:val="en-US" w:eastAsia="zh-CN" w:bidi="ar-SA"/>
              </w:rPr>
              <w:t>：</w:t>
            </w:r>
          </w:p>
          <w:p w14:paraId="17CDEBF2">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rPr>
                <w:highlight w:val="none"/>
                <w:u w:val="none"/>
                <w:lang w:val="en-US" w:eastAsia="zh-CN"/>
              </w:rPr>
            </w:pPr>
            <w:r>
              <w:rPr>
                <w:rFonts w:hint="eastAsia" w:ascii="仿宋_GB2312" w:eastAsia="仿宋_GB2312" w:cs="宋体"/>
                <w:color w:val="auto"/>
                <w:sz w:val="22"/>
                <w:szCs w:val="22"/>
                <w:highlight w:val="none"/>
                <w:u w:val="none"/>
                <w:lang w:val="en-US" w:eastAsia="zh-CN" w:bidi="ar-SA"/>
              </w:rPr>
              <w:t>固体废物年产生量500吨以下，违法行为持续时间不超过3个月，</w:t>
            </w:r>
            <w:r>
              <w:rPr>
                <w:rFonts w:hint="eastAsia" w:ascii="仿宋_GB2312" w:hAnsi="Calibri" w:eastAsia="仿宋_GB2312" w:cs="宋体"/>
                <w:b w:val="0"/>
                <w:color w:val="auto"/>
                <w:kern w:val="2"/>
                <w:sz w:val="22"/>
                <w:szCs w:val="22"/>
                <w:highlight w:val="none"/>
                <w:u w:val="none"/>
                <w:lang w:val="en-US" w:eastAsia="zh-CN" w:bidi="ar-SA"/>
              </w:rPr>
              <w:t>未造成</w:t>
            </w:r>
            <w:r>
              <w:rPr>
                <w:rFonts w:hint="eastAsia" w:ascii="仿宋_GB2312" w:eastAsia="仿宋_GB2312" w:cs="宋体"/>
                <w:color w:val="auto"/>
                <w:sz w:val="22"/>
                <w:szCs w:val="22"/>
                <w:highlight w:val="none"/>
                <w:u w:val="none"/>
                <w:lang w:val="en-US" w:eastAsia="zh-CN" w:bidi="ar-SA"/>
              </w:rPr>
              <w:t>明显</w:t>
            </w:r>
            <w:r>
              <w:rPr>
                <w:rFonts w:hint="eastAsia" w:ascii="仿宋_GB2312" w:hAnsi="Calibri" w:eastAsia="仿宋_GB2312" w:cs="宋体"/>
                <w:b w:val="0"/>
                <w:color w:val="auto"/>
                <w:kern w:val="2"/>
                <w:sz w:val="22"/>
                <w:szCs w:val="22"/>
                <w:highlight w:val="none"/>
                <w:u w:val="none"/>
                <w:lang w:val="en-US" w:eastAsia="zh-CN" w:bidi="ar-SA"/>
              </w:rPr>
              <w:t>环境污染后果，</w:t>
            </w:r>
            <w:r>
              <w:rPr>
                <w:rFonts w:hint="eastAsia" w:ascii="仿宋_GB2312" w:eastAsia="仿宋_GB2312" w:cs="宋体"/>
                <w:color w:val="auto"/>
                <w:sz w:val="22"/>
                <w:szCs w:val="22"/>
                <w:highlight w:val="none"/>
                <w:u w:val="none"/>
                <w:lang w:val="en-US" w:eastAsia="zh-CN" w:bidi="ar-SA"/>
              </w:rPr>
              <w:t>没有固体废物非法运输、利用、倾倒、处置等行为，并在5个工作日内改正的。</w:t>
            </w:r>
          </w:p>
        </w:tc>
        <w:tc>
          <w:tcPr>
            <w:tcW w:w="6273" w:type="dxa"/>
            <w:vMerge w:val="continue"/>
            <w:vAlign w:val="center"/>
          </w:tcPr>
          <w:p w14:paraId="2C8CDE73"/>
        </w:tc>
        <w:tc>
          <w:tcPr>
            <w:tcW w:w="1881" w:type="dxa"/>
            <w:vMerge w:val="continue"/>
            <w:vAlign w:val="center"/>
          </w:tcPr>
          <w:p w14:paraId="7507BEA8"/>
        </w:tc>
      </w:tr>
      <w:tr w14:paraId="2C1CC3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38" w:hRule="atLeast"/>
        </w:trPr>
        <w:tc>
          <w:tcPr>
            <w:tcW w:w="880" w:type="dxa"/>
            <w:vMerge w:val="continue"/>
            <w:vAlign w:val="center"/>
          </w:tcPr>
          <w:p w14:paraId="52823D55"/>
        </w:tc>
        <w:tc>
          <w:tcPr>
            <w:tcW w:w="1560" w:type="dxa"/>
            <w:vMerge w:val="continue"/>
            <w:vAlign w:val="center"/>
          </w:tcPr>
          <w:p w14:paraId="3E1E8D5B"/>
        </w:tc>
        <w:tc>
          <w:tcPr>
            <w:tcW w:w="3928" w:type="dxa"/>
            <w:vAlign w:val="center"/>
          </w:tcPr>
          <w:p w14:paraId="29288D0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Times New Roman" w:eastAsia="仿宋_GB2312" w:cs="宋体"/>
                <w:color w:val="auto"/>
                <w:kern w:val="0"/>
                <w:sz w:val="22"/>
                <w:szCs w:val="22"/>
                <w:highlight w:val="none"/>
                <w:u w:val="none"/>
                <w:lang w:val="en-US" w:eastAsia="zh-CN" w:bidi="ar-SA"/>
              </w:rPr>
            </w:pPr>
            <w:r>
              <w:rPr>
                <w:rFonts w:hint="eastAsia" w:ascii="仿宋_GB2312" w:hAnsi="Times New Roman" w:eastAsia="仿宋_GB2312" w:cs="宋体"/>
                <w:color w:val="auto"/>
                <w:kern w:val="0"/>
                <w:sz w:val="22"/>
                <w:szCs w:val="22"/>
                <w:highlight w:val="yellow"/>
                <w:u w:val="none"/>
                <w:lang w:val="en-US" w:eastAsia="zh-CN" w:bidi="ar-SA"/>
              </w:rPr>
              <w:t>（</w:t>
            </w:r>
            <w:r>
              <w:rPr>
                <w:rFonts w:hint="eastAsia" w:ascii="仿宋_GB2312" w:cs="宋体"/>
                <w:color w:val="auto"/>
                <w:kern w:val="0"/>
                <w:sz w:val="22"/>
                <w:szCs w:val="22"/>
                <w:highlight w:val="yellow"/>
                <w:u w:val="none"/>
                <w:lang w:val="en-US" w:eastAsia="zh-CN" w:bidi="ar-SA"/>
              </w:rPr>
              <w:t>2</w:t>
            </w:r>
            <w:r>
              <w:rPr>
                <w:rFonts w:hint="eastAsia" w:ascii="仿宋_GB2312" w:hAnsi="Times New Roman" w:eastAsia="仿宋_GB2312" w:cs="宋体"/>
                <w:color w:val="auto"/>
                <w:kern w:val="0"/>
                <w:sz w:val="22"/>
                <w:szCs w:val="22"/>
                <w:highlight w:val="yellow"/>
                <w:u w:val="none"/>
                <w:lang w:val="en-US" w:eastAsia="zh-CN" w:bidi="ar-SA"/>
              </w:rPr>
              <w:t>）</w:t>
            </w:r>
            <w:r>
              <w:rPr>
                <w:rFonts w:hint="eastAsia" w:ascii="仿宋_GB2312" w:hAnsi="Times New Roman" w:eastAsia="仿宋_GB2312" w:cs="宋体"/>
                <w:color w:val="auto"/>
                <w:kern w:val="0"/>
                <w:sz w:val="22"/>
                <w:szCs w:val="22"/>
                <w:highlight w:val="none"/>
                <w:u w:val="none"/>
                <w:lang w:val="en-US" w:eastAsia="zh-CN" w:bidi="ar-SA"/>
              </w:rPr>
              <w:t>转移固体废物出省利用未</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报备案</w:t>
            </w:r>
            <w:r>
              <w:rPr>
                <w:rFonts w:ascii="Times New Roman" w:hAnsi="Times New Roman" w:eastAsia="楷体" w:cs="Times New Roman"/>
                <w:sz w:val="22"/>
                <w:szCs w:val="22"/>
              </w:rPr>
              <w:t>】</w:t>
            </w:r>
            <w:r>
              <w:rPr>
                <w:rFonts w:hint="eastAsia" w:ascii="仿宋_GB2312" w:cs="宋体"/>
                <w:color w:val="auto"/>
                <w:kern w:val="0"/>
                <w:sz w:val="22"/>
                <w:szCs w:val="22"/>
                <w:highlight w:val="yellow"/>
                <w:u w:val="none"/>
                <w:lang w:val="en-US" w:eastAsia="zh-CN" w:bidi="ar-SA"/>
              </w:rPr>
              <w:t>提前报送信息</w:t>
            </w:r>
            <w:r>
              <w:rPr>
                <w:rFonts w:hint="eastAsia" w:ascii="仿宋_GB2312" w:hAnsi="Times New Roman" w:eastAsia="仿宋_GB2312" w:cs="宋体"/>
                <w:color w:val="auto"/>
                <w:kern w:val="0"/>
                <w:sz w:val="22"/>
                <w:szCs w:val="22"/>
                <w:highlight w:val="none"/>
                <w:u w:val="none"/>
                <w:lang w:val="en-US" w:eastAsia="zh-CN" w:bidi="ar-SA"/>
              </w:rPr>
              <w:t>：</w:t>
            </w:r>
          </w:p>
          <w:p w14:paraId="356368F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eastAsia="仿宋_GB2312" w:cs="宋体"/>
                <w:color w:val="auto"/>
                <w:sz w:val="22"/>
                <w:szCs w:val="22"/>
                <w:highlight w:val="none"/>
                <w:u w:val="none"/>
                <w:lang w:val="en-US" w:eastAsia="zh-CN" w:bidi="ar-SA"/>
              </w:rPr>
            </w:pPr>
            <w:r>
              <w:rPr>
                <w:rFonts w:hint="eastAsia" w:ascii="仿宋_GB2312" w:hAnsi="Times New Roman" w:eastAsia="仿宋_GB2312" w:cs="宋体"/>
                <w:color w:val="auto"/>
                <w:kern w:val="0"/>
                <w:sz w:val="22"/>
                <w:szCs w:val="22"/>
                <w:highlight w:val="none"/>
                <w:u w:val="none"/>
                <w:lang w:val="en-US" w:eastAsia="zh-CN" w:bidi="ar-SA"/>
              </w:rPr>
              <w:t>有签订合同并建立台</w:t>
            </w:r>
            <w:r>
              <w:rPr>
                <w:rFonts w:hint="eastAsia" w:ascii="仿宋_GB2312" w:cs="宋体"/>
                <w:color w:val="auto"/>
                <w:kern w:val="0"/>
                <w:sz w:val="22"/>
                <w:szCs w:val="22"/>
                <w:highlight w:val="none"/>
                <w:u w:val="none"/>
                <w:lang w:val="en-US" w:eastAsia="zh-CN" w:bidi="ar-SA"/>
              </w:rPr>
              <w:t>账</w:t>
            </w:r>
            <w:bookmarkStart w:id="0" w:name="_GoBack"/>
            <w:bookmarkEnd w:id="0"/>
            <w:r>
              <w:rPr>
                <w:rFonts w:hint="eastAsia" w:ascii="仿宋_GB2312" w:hAnsi="Times New Roman" w:eastAsia="仿宋_GB2312" w:cs="宋体"/>
                <w:color w:val="auto"/>
                <w:kern w:val="0"/>
                <w:sz w:val="22"/>
                <w:szCs w:val="22"/>
                <w:highlight w:val="none"/>
                <w:u w:val="none"/>
                <w:lang w:val="en-US" w:eastAsia="zh-CN" w:bidi="ar-SA"/>
              </w:rPr>
              <w:t>，未</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报备案</w:t>
            </w:r>
            <w:r>
              <w:rPr>
                <w:rFonts w:ascii="Times New Roman" w:hAnsi="Times New Roman" w:eastAsia="楷体" w:cs="Times New Roman"/>
                <w:sz w:val="22"/>
                <w:szCs w:val="22"/>
              </w:rPr>
              <w:t>】</w:t>
            </w:r>
            <w:r>
              <w:rPr>
                <w:rFonts w:hint="eastAsia" w:ascii="仿宋_GB2312" w:cs="宋体"/>
                <w:color w:val="auto"/>
                <w:kern w:val="0"/>
                <w:sz w:val="22"/>
                <w:szCs w:val="22"/>
                <w:highlight w:val="yellow"/>
                <w:u w:val="none"/>
                <w:lang w:val="en-US" w:eastAsia="zh-CN" w:bidi="ar-SA"/>
              </w:rPr>
              <w:t>提前报送</w:t>
            </w:r>
            <w:r>
              <w:rPr>
                <w:rFonts w:hint="eastAsia" w:ascii="仿宋_GB2312" w:hAnsi="Times New Roman" w:eastAsia="仿宋_GB2312" w:cs="宋体"/>
                <w:color w:val="auto"/>
                <w:kern w:val="0"/>
                <w:sz w:val="22"/>
                <w:szCs w:val="22"/>
                <w:highlight w:val="none"/>
                <w:u w:val="none"/>
                <w:lang w:val="en-US" w:eastAsia="zh-CN" w:bidi="ar-SA"/>
              </w:rPr>
              <w:t>转移固体废物出省利用</w:t>
            </w:r>
            <w:r>
              <w:rPr>
                <w:rFonts w:hint="eastAsia" w:ascii="仿宋_GB2312" w:cs="宋体"/>
                <w:color w:val="auto"/>
                <w:kern w:val="0"/>
                <w:sz w:val="22"/>
                <w:szCs w:val="22"/>
                <w:highlight w:val="yellow"/>
                <w:u w:val="none"/>
                <w:lang w:val="en-US" w:eastAsia="zh-CN" w:bidi="ar-SA"/>
              </w:rPr>
              <w:t>信息</w:t>
            </w:r>
            <w:r>
              <w:rPr>
                <w:rFonts w:hint="eastAsia" w:ascii="仿宋_GB2312" w:hAnsi="Times New Roman" w:eastAsia="仿宋_GB2312" w:cs="宋体"/>
                <w:color w:val="auto"/>
                <w:kern w:val="0"/>
                <w:sz w:val="22"/>
                <w:szCs w:val="22"/>
                <w:highlight w:val="none"/>
                <w:u w:val="none"/>
                <w:lang w:val="en-US" w:eastAsia="zh-CN" w:bidi="ar-SA"/>
              </w:rPr>
              <w:t>，未造成明显环境污染后果，没有其他违反固体废物管理要求的行为，并在10个工作日内</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申报且符合受理条件</w:t>
            </w:r>
            <w:r>
              <w:rPr>
                <w:rFonts w:ascii="Times New Roman" w:hAnsi="Times New Roman" w:eastAsia="楷体" w:cs="Times New Roman"/>
                <w:sz w:val="22"/>
                <w:szCs w:val="22"/>
              </w:rPr>
              <w:t>】</w:t>
            </w:r>
            <w:r>
              <w:rPr>
                <w:rFonts w:hint="eastAsia" w:ascii="仿宋_GB2312" w:cs="宋体"/>
                <w:color w:val="auto"/>
                <w:kern w:val="0"/>
                <w:sz w:val="22"/>
                <w:szCs w:val="22"/>
                <w:highlight w:val="yellow"/>
                <w:u w:val="none"/>
                <w:lang w:val="en-US" w:eastAsia="zh-CN" w:bidi="ar-SA"/>
              </w:rPr>
              <w:t>改正</w:t>
            </w:r>
            <w:r>
              <w:rPr>
                <w:rFonts w:hint="eastAsia" w:ascii="仿宋_GB2312" w:hAnsi="Times New Roman" w:eastAsia="仿宋_GB2312" w:cs="宋体"/>
                <w:color w:val="auto"/>
                <w:kern w:val="0"/>
                <w:sz w:val="22"/>
                <w:szCs w:val="22"/>
                <w:highlight w:val="none"/>
                <w:u w:val="none"/>
                <w:lang w:val="en-US" w:eastAsia="zh-CN" w:bidi="ar-SA"/>
              </w:rPr>
              <w:t>的。</w:t>
            </w:r>
          </w:p>
        </w:tc>
        <w:tc>
          <w:tcPr>
            <w:tcW w:w="6273" w:type="dxa"/>
            <w:vMerge w:val="continue"/>
            <w:vAlign w:val="center"/>
          </w:tcPr>
          <w:p w14:paraId="15652273"/>
        </w:tc>
        <w:tc>
          <w:tcPr>
            <w:tcW w:w="1881" w:type="dxa"/>
            <w:vMerge w:val="continue"/>
            <w:vAlign w:val="center"/>
          </w:tcPr>
          <w:p w14:paraId="05C05D90"/>
        </w:tc>
      </w:tr>
      <w:tr w14:paraId="761F68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01" w:hRule="atLeast"/>
        </w:trPr>
        <w:tc>
          <w:tcPr>
            <w:tcW w:w="880" w:type="dxa"/>
            <w:vMerge w:val="continue"/>
            <w:vAlign w:val="center"/>
          </w:tcPr>
          <w:p w14:paraId="22FFC071"/>
        </w:tc>
        <w:tc>
          <w:tcPr>
            <w:tcW w:w="1560" w:type="dxa"/>
            <w:vMerge w:val="continue"/>
            <w:vAlign w:val="center"/>
          </w:tcPr>
          <w:p w14:paraId="4F0E0BF9"/>
        </w:tc>
        <w:tc>
          <w:tcPr>
            <w:tcW w:w="3928" w:type="dxa"/>
            <w:vAlign w:val="center"/>
          </w:tcPr>
          <w:p w14:paraId="3A94AD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yellow"/>
                <w:u w:val="none"/>
                <w:lang w:val="en-US" w:eastAsia="zh-CN" w:bidi="ar-SA"/>
              </w:rPr>
              <w:t>（</w:t>
            </w:r>
            <w:r>
              <w:rPr>
                <w:rFonts w:hint="eastAsia" w:ascii="仿宋_GB2312" w:cs="宋体"/>
                <w:color w:val="auto"/>
                <w:sz w:val="22"/>
                <w:szCs w:val="22"/>
                <w:highlight w:val="yellow"/>
                <w:u w:val="none"/>
                <w:lang w:val="en-US" w:eastAsia="zh-CN" w:bidi="ar-SA"/>
              </w:rPr>
              <w:t>3</w:t>
            </w:r>
            <w:r>
              <w:rPr>
                <w:rFonts w:hint="eastAsia" w:ascii="仿宋_GB2312" w:eastAsia="仿宋_GB2312" w:cs="宋体"/>
                <w:color w:val="auto"/>
                <w:sz w:val="22"/>
                <w:szCs w:val="22"/>
                <w:highlight w:val="yellow"/>
                <w:u w:val="none"/>
                <w:lang w:val="en-US" w:eastAsia="zh-CN" w:bidi="ar-SA"/>
              </w:rPr>
              <w:t>）</w:t>
            </w:r>
            <w:r>
              <w:rPr>
                <w:rFonts w:hint="eastAsia" w:ascii="仿宋_GB2312" w:eastAsia="仿宋_GB2312" w:cs="宋体"/>
                <w:color w:val="auto"/>
                <w:sz w:val="22"/>
                <w:szCs w:val="22"/>
                <w:highlight w:val="none"/>
                <w:u w:val="none"/>
                <w:lang w:val="en-US" w:eastAsia="zh-CN" w:bidi="ar-SA"/>
              </w:rPr>
              <w:t>贮存工业固体废物未采取符合国家环境保护标准的防护措施：</w:t>
            </w:r>
          </w:p>
          <w:p w14:paraId="62F6AD2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0"/>
              <w:jc w:val="left"/>
              <w:textAlignment w:val="center"/>
              <w:rPr>
                <w:rFonts w:hint="eastAsia" w:ascii="宋体" w:hAnsi="宋体" w:eastAsia="宋体" w:cs="宋体"/>
                <w:color w:val="000000"/>
                <w:kern w:val="0"/>
                <w:sz w:val="24"/>
                <w:szCs w:val="24"/>
                <w:highlight w:val="none"/>
                <w:u w:val="none"/>
                <w:lang w:val="en-US" w:eastAsia="zh-CN"/>
              </w:rPr>
            </w:pPr>
            <w:r>
              <w:rPr>
                <w:rFonts w:hint="eastAsia" w:ascii="仿宋_GB2312" w:hAnsi="Calibri" w:eastAsia="仿宋_GB2312" w:cs="宋体"/>
                <w:color w:val="auto"/>
                <w:kern w:val="2"/>
                <w:sz w:val="22"/>
                <w:szCs w:val="22"/>
                <w:highlight w:val="none"/>
                <w:u w:val="none"/>
                <w:lang w:val="en-US" w:eastAsia="zh-CN" w:bidi="ar-SA"/>
              </w:rPr>
              <w:t>占地面积在</w:t>
            </w:r>
            <w:r>
              <w:rPr>
                <w:rFonts w:hint="eastAsia" w:ascii="仿宋_GB2312" w:eastAsia="仿宋_GB2312" w:cs="宋体"/>
                <w:color w:val="auto"/>
                <w:kern w:val="2"/>
                <w:sz w:val="22"/>
                <w:szCs w:val="22"/>
                <w:highlight w:val="none"/>
                <w:u w:val="none"/>
                <w:lang w:val="en-US" w:eastAsia="zh-CN" w:bidi="ar-SA"/>
              </w:rPr>
              <w:t>50</w:t>
            </w:r>
            <w:r>
              <w:rPr>
                <w:rFonts w:hint="eastAsia" w:ascii="仿宋_GB2312" w:hAnsi="Calibri" w:eastAsia="仿宋_GB2312" w:cs="宋体"/>
                <w:color w:val="auto"/>
                <w:kern w:val="2"/>
                <w:sz w:val="22"/>
                <w:szCs w:val="22"/>
                <w:highlight w:val="none"/>
                <w:u w:val="none"/>
                <w:lang w:val="en-US" w:eastAsia="zh-CN" w:bidi="ar-SA"/>
              </w:rPr>
              <w:t>平方米以下，</w:t>
            </w:r>
            <w:r>
              <w:rPr>
                <w:rFonts w:hint="eastAsia" w:ascii="仿宋_GB2312" w:eastAsia="仿宋_GB2312" w:cs="宋体"/>
                <w:color w:val="auto"/>
                <w:sz w:val="22"/>
                <w:szCs w:val="22"/>
                <w:highlight w:val="none"/>
                <w:u w:val="none"/>
                <w:lang w:val="en-US" w:eastAsia="zh-CN" w:bidi="ar-SA"/>
              </w:rPr>
              <w:t>违法行为持续时间不超过3个月，且未造成明显的扬散、流失、渗漏或其他环境污染后果，没有其他违反固体废物管理要求的行为，并在5个工作日内改正的。</w:t>
            </w:r>
          </w:p>
        </w:tc>
        <w:tc>
          <w:tcPr>
            <w:tcW w:w="6273" w:type="dxa"/>
            <w:vMerge w:val="continue"/>
            <w:vAlign w:val="center"/>
          </w:tcPr>
          <w:p w14:paraId="5671E60A"/>
        </w:tc>
        <w:tc>
          <w:tcPr>
            <w:tcW w:w="1881" w:type="dxa"/>
            <w:vMerge w:val="continue"/>
            <w:vAlign w:val="center"/>
          </w:tcPr>
          <w:p w14:paraId="22BF05E5"/>
        </w:tc>
      </w:tr>
      <w:tr w14:paraId="619701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10" w:hRule="atLeast"/>
        </w:trPr>
        <w:tc>
          <w:tcPr>
            <w:tcW w:w="880" w:type="dxa"/>
            <w:vMerge w:val="restart"/>
            <w:vAlign w:val="center"/>
          </w:tcPr>
          <w:p w14:paraId="11FE4847">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hAnsi="宋体" w:eastAsia="宋体" w:cs="宋体"/>
                <w:color w:val="000000"/>
                <w:kern w:val="0"/>
                <w:sz w:val="24"/>
                <w:szCs w:val="24"/>
                <w:highlight w:val="none"/>
                <w:u w:val="none"/>
                <w:lang w:val="en-US" w:eastAsia="zh-CN"/>
              </w:rPr>
            </w:pPr>
            <w:r>
              <w:rPr>
                <w:rFonts w:hint="eastAsia" w:ascii="仿宋_GB2312" w:cs="宋体"/>
                <w:color w:val="auto"/>
                <w:sz w:val="22"/>
                <w:szCs w:val="22"/>
                <w:highlight w:val="yellow"/>
                <w:u w:val="none"/>
                <w:lang w:val="en-US" w:eastAsia="zh-CN" w:bidi="ar-SA"/>
              </w:rPr>
              <w:t>13</w:t>
            </w:r>
          </w:p>
        </w:tc>
        <w:tc>
          <w:tcPr>
            <w:tcW w:w="1560" w:type="dxa"/>
            <w:vMerge w:val="restart"/>
            <w:vAlign w:val="center"/>
          </w:tcPr>
          <w:p w14:paraId="430C5AC0">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对未规范管理危险废物的处罚</w:t>
            </w:r>
          </w:p>
        </w:tc>
        <w:tc>
          <w:tcPr>
            <w:tcW w:w="3928" w:type="dxa"/>
            <w:vAlign w:val="center"/>
          </w:tcPr>
          <w:p w14:paraId="14562330">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（1）未</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按照规定</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设置危险废物识别标志：</w:t>
            </w:r>
          </w:p>
          <w:p w14:paraId="5532E6C4">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违法行为持续时间不超过3个月，并在5个工作日内改正的。</w:t>
            </w:r>
          </w:p>
        </w:tc>
        <w:tc>
          <w:tcPr>
            <w:tcW w:w="6273" w:type="dxa"/>
            <w:vMerge w:val="restart"/>
            <w:vAlign w:val="center"/>
          </w:tcPr>
          <w:p w14:paraId="2A50BE4A">
            <w:pPr>
              <w:keepNext w:val="0"/>
              <w:keepLines w:val="0"/>
              <w:widowControl/>
              <w:suppressLineNumbers w:val="0"/>
              <w:ind w:firstLine="440" w:firstLineChars="200"/>
              <w:jc w:val="left"/>
              <w:rPr>
                <w:rFonts w:hint="eastAsia" w:ascii="仿宋_GB2312" w:hAnsi="Calibri" w:cs="宋体"/>
                <w:strike w:val="0"/>
                <w:dstrike w:val="0"/>
                <w:color w:val="auto"/>
                <w:kern w:val="2"/>
                <w:sz w:val="22"/>
                <w:szCs w:val="22"/>
                <w:highlight w:val="yellow"/>
                <w:u w:val="none"/>
                <w:lang w:val="en-US" w:eastAsia="zh-CN" w:bidi="ar-SA"/>
              </w:rPr>
            </w:pPr>
          </w:p>
          <w:p w14:paraId="419C7854">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1.</w:t>
            </w: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438B8413">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第</w:t>
            </w:r>
            <w:r>
              <w:rPr>
                <w:rFonts w:hint="eastAsia" w:ascii="仿宋_GB2312" w:hAnsi="Calibri" w:eastAsia="仿宋_GB2312" w:cs="宋体"/>
                <w:strike w:val="0"/>
                <w:dstrike w:val="0"/>
                <w:color w:val="auto"/>
                <w:kern w:val="2"/>
                <w:sz w:val="22"/>
                <w:szCs w:val="22"/>
                <w:highlight w:val="yellow"/>
                <w:u w:val="none"/>
                <w:lang w:val="en-US" w:eastAsia="zh-CN" w:bidi="ar-SA"/>
              </w:rPr>
              <w:t>五百三十一条</w:t>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hint="eastAsia" w:ascii="仿宋_GB2312" w:hAnsi="Calibri" w:eastAsia="仿宋_GB2312" w:cs="宋体"/>
                <w:strike w:val="0"/>
                <w:dstrike w:val="0"/>
                <w:color w:val="auto"/>
                <w:kern w:val="2"/>
                <w:sz w:val="22"/>
                <w:szCs w:val="22"/>
                <w:highlight w:val="yellow"/>
                <w:u w:val="none"/>
                <w:lang w:val="en-US" w:eastAsia="zh-CN" w:bidi="ar-SA"/>
              </w:rPr>
              <w:t>对危险废物的容器和包装物以及收集、贮存、运输、利用、处置危险废物的设施、场所，应当按照规定设置危险废物识别标志。</w:t>
            </w:r>
          </w:p>
          <w:p w14:paraId="3B3769E7">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第五百三十二条</w:t>
            </w:r>
            <w:r>
              <w:rPr>
                <w:rFonts w:hint="eastAsia" w:ascii="仿宋_GB2312" w:hAnsi="Calibri" w:cs="宋体"/>
                <w:strike w:val="0"/>
                <w:dstrike w:val="0"/>
                <w:color w:val="auto"/>
                <w:kern w:val="2"/>
                <w:sz w:val="22"/>
                <w:szCs w:val="22"/>
                <w:highlight w:val="yellow"/>
                <w:u w:val="none"/>
                <w:lang w:val="en-US" w:eastAsia="zh-CN" w:bidi="ar-SA"/>
              </w:rPr>
              <w:t>第一款</w:t>
            </w:r>
            <w:r>
              <w:rPr>
                <w:rFonts w:hint="eastAsia" w:ascii="仿宋_GB2312" w:hAnsi="Calibri" w:eastAsia="仿宋_GB2312" w:cs="宋体"/>
                <w:strike w:val="0"/>
                <w:dstrike w:val="0"/>
                <w:color w:val="auto"/>
                <w:kern w:val="2"/>
                <w:sz w:val="22"/>
                <w:szCs w:val="22"/>
                <w:highlight w:val="yellow"/>
                <w:u w:val="none"/>
                <w:lang w:val="en-US" w:eastAsia="zh-CN" w:bidi="ar-SA"/>
              </w:rPr>
              <w:t>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412B6615">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第五百三十三条　产生危险废物的单位，应当按照国家规定和生态环境保护标准的要求贮存、利用、处置危险废物。</w:t>
            </w:r>
          </w:p>
          <w:p w14:paraId="4DAA3FC9">
            <w:pPr>
              <w:keepNext w:val="0"/>
              <w:keepLines w:val="0"/>
              <w:widowControl/>
              <w:suppressLineNumbers w:val="0"/>
              <w:ind w:firstLine="440" w:firstLineChars="200"/>
              <w:jc w:val="left"/>
              <w:rPr>
                <w:color w:val="auto"/>
              </w:rPr>
            </w:pPr>
            <w:r>
              <w:rPr>
                <w:rFonts w:hint="eastAsia" w:ascii="仿宋_GB2312" w:hAnsi="Calibri" w:eastAsia="仿宋_GB2312" w:cs="宋体"/>
                <w:strike w:val="0"/>
                <w:dstrike w:val="0"/>
                <w:color w:val="auto"/>
                <w:kern w:val="2"/>
                <w:sz w:val="22"/>
                <w:szCs w:val="22"/>
                <w:highlight w:val="yellow"/>
                <w:u w:val="none"/>
                <w:lang w:val="en-US" w:eastAsia="zh-CN" w:bidi="ar-SA"/>
              </w:rPr>
              <w:t>第五百三十六条</w:t>
            </w:r>
            <w:r>
              <w:rPr>
                <w:rFonts w:hint="eastAsia" w:ascii="仿宋_GB2312" w:hAnsi="Calibri" w:cs="宋体"/>
                <w:strike w:val="0"/>
                <w:dstrike w:val="0"/>
                <w:color w:val="auto"/>
                <w:kern w:val="2"/>
                <w:sz w:val="22"/>
                <w:szCs w:val="22"/>
                <w:highlight w:val="yellow"/>
                <w:u w:val="none"/>
                <w:lang w:val="en-US" w:eastAsia="zh-CN" w:bidi="ar-SA"/>
              </w:rPr>
              <w:t>第一款</w:t>
            </w:r>
            <w:r>
              <w:rPr>
                <w:rFonts w:hint="eastAsia" w:ascii="仿宋_GB2312" w:hAnsi="Calibri" w:eastAsia="仿宋_GB2312" w:cs="宋体"/>
                <w:strike w:val="0"/>
                <w:dstrike w:val="0"/>
                <w:color w:val="auto"/>
                <w:kern w:val="2"/>
                <w:sz w:val="22"/>
                <w:szCs w:val="22"/>
                <w:highlight w:val="yellow"/>
                <w:u w:val="none"/>
                <w:lang w:val="en-US" w:eastAsia="zh-CN" w:bidi="ar-SA"/>
              </w:rPr>
              <w:t>　转移危险废物的，应当按照国家规定填写、运行危险废物电子或者纸质转移联单。</w:t>
            </w:r>
          </w:p>
          <w:p w14:paraId="2B6C155B">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第一千一百七十五条　违反本法规定，有下列情形之一的，由生态环境主管部门责令改正，没收违法所得，并处以罚款；情节严重的，报经有批准权的人民政府批准，责令停业、关闭：</w:t>
            </w:r>
          </w:p>
          <w:p w14:paraId="661B38F4">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（一）未设置危险废物识别标志；</w:t>
            </w:r>
          </w:p>
          <w:p w14:paraId="51F39D3F">
            <w:pPr>
              <w:keepNext w:val="0"/>
              <w:keepLines w:val="0"/>
              <w:widowControl/>
              <w:suppressLineNumbers w:val="0"/>
              <w:ind w:firstLine="440" w:firstLineChars="200"/>
              <w:jc w:val="left"/>
              <w:rPr>
                <w:rFonts w:hint="eastAsia" w:ascii="仿宋_GB2312" w:hAnsi="Calibri"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w:t>
            </w:r>
          </w:p>
          <w:p w14:paraId="4DA4161D">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（三）未建立危险废物管理台账并如实记录；</w:t>
            </w:r>
          </w:p>
          <w:p w14:paraId="5E362737">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（四）未按照国家规定和生态环境保护标准贮存、利用、处置危险废物，或者将危险废物混入非危险废物中贮存；</w:t>
            </w:r>
          </w:p>
          <w:p w14:paraId="2365122D">
            <w:pPr>
              <w:keepNext w:val="0"/>
              <w:keepLines w:val="0"/>
              <w:widowControl/>
              <w:suppressLineNumbers w:val="0"/>
              <w:ind w:firstLine="440" w:firstLineChars="200"/>
              <w:jc w:val="left"/>
              <w:rPr>
                <w:rFonts w:hint="eastAsia" w:ascii="仿宋_GB2312" w:hAnsi="Calibri"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w:t>
            </w:r>
          </w:p>
          <w:p w14:paraId="44BC1E16">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（七）未填写、运行危险废物转移联单；</w:t>
            </w:r>
          </w:p>
          <w:p w14:paraId="19D3D7E2">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w:t>
            </w:r>
          </w:p>
          <w:p w14:paraId="18D7B8B1">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67B76E2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1.《中华人民共和国固体废物污染环境防治法》（2020年修订）</w:t>
            </w:r>
          </w:p>
          <w:p w14:paraId="3C6BFC7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第七十七条　对危险废物的容器和包装物以及收集、贮存、运输、利用、处置危险废物的设施、场所，应当按照规定设置危险废物识别标志。</w:t>
            </w:r>
          </w:p>
          <w:p w14:paraId="3C2B475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第一百一十二条第一项、第六项、第十三项　违反本法规定，有下列行为之一，由生态环境主管部门责令改正，处以罚款，没收违法所得；情节严重的，报经有批准权的人民政府批准，可以责令停业或者关闭：</w:t>
            </w:r>
          </w:p>
          <w:p w14:paraId="09D50F3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（一）未按照规定设置危险废物识别标志的；</w:t>
            </w:r>
          </w:p>
          <w:p w14:paraId="10EFD2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（六）未按照国家环境保护标准贮存、利用、处置危险废物或者将危险废物混入非危险废物中贮存的；</w:t>
            </w:r>
          </w:p>
          <w:p w14:paraId="4CEF418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（十三）未按照国家有关规定建立危险废物管理台账并如实记录的。</w:t>
            </w:r>
          </w:p>
          <w:p w14:paraId="5366B1E3">
            <w:pPr>
              <w:keepNext w:val="0"/>
              <w:keepLines w:val="0"/>
              <w:pageBreakBefore w:val="0"/>
              <w:widowControl w:val="0"/>
              <w:kinsoku/>
              <w:wordWrap/>
              <w:overflowPunct/>
              <w:topLinePunct w:val="0"/>
              <w:autoSpaceDE/>
              <w:autoSpaceDN/>
              <w:bidi w:val="0"/>
              <w:adjustRightInd/>
              <w:snapToGrid/>
              <w:spacing w:beforeAutospacing="0" w:afterAutospacing="0" w:line="310" w:lineRule="exact"/>
              <w:ind w:firstLine="440" w:firstLineChars="200"/>
              <w:jc w:val="both"/>
              <w:textAlignment w:val="auto"/>
              <w:rPr>
                <w:rFonts w:hint="eastAsia" w:ascii="仿宋_GB2312" w:eastAsia="仿宋_GB2312" w:cs="宋体"/>
                <w:color w:val="auto"/>
                <w:sz w:val="22"/>
                <w:szCs w:val="22"/>
                <w:highlight w:val="none"/>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r>
              <w:rPr>
                <w:rFonts w:ascii="Times New Roman" w:hAnsi="Times New Roman" w:eastAsia="楷体" w:cs="Times New Roman"/>
                <w:sz w:val="22"/>
                <w:szCs w:val="22"/>
              </w:rPr>
              <w:t>】</w:t>
            </w:r>
            <w:r>
              <w:rPr>
                <w:rFonts w:hint="eastAsia" w:ascii="仿宋_GB2312" w:hAnsi="Calibri" w:eastAsia="仿宋_GB2312" w:cs="宋体"/>
                <w:strike/>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none"/>
                <w:u w:val="none"/>
                <w:lang w:val="en-US" w:eastAsia="zh-CN" w:bidi="ar-SA"/>
              </w:rPr>
              <w:t xml:space="preserve">    </w:t>
            </w:r>
            <w:r>
              <w:rPr>
                <w:rFonts w:hint="eastAsia" w:ascii="仿宋_GB2312" w:eastAsia="仿宋_GB2312" w:cs="宋体"/>
                <w:color w:val="auto"/>
                <w:sz w:val="22"/>
                <w:szCs w:val="22"/>
                <w:highlight w:val="none"/>
                <w:u w:val="none"/>
                <w:lang w:val="en-US" w:eastAsia="zh-CN" w:bidi="ar-SA"/>
              </w:rPr>
              <w:t>2.《危险废物转移管理办法》（生态环境部、公安部、交通运输部令第23号）</w:t>
            </w:r>
          </w:p>
          <w:p w14:paraId="3AC6C027">
            <w:pPr>
              <w:keepNext w:val="0"/>
              <w:keepLines w:val="0"/>
              <w:pageBreakBefore w:val="0"/>
              <w:widowControl w:val="0"/>
              <w:kinsoku/>
              <w:wordWrap/>
              <w:overflowPunct/>
              <w:topLinePunct w:val="0"/>
              <w:autoSpaceDE/>
              <w:autoSpaceDN/>
              <w:bidi w:val="0"/>
              <w:adjustRightInd/>
              <w:snapToGrid/>
              <w:spacing w:beforeAutospacing="0" w:afterAutospacing="0" w:line="310" w:lineRule="exact"/>
              <w:ind w:firstLine="440" w:firstLineChars="200"/>
              <w:jc w:val="both"/>
              <w:textAlignment w:val="auto"/>
              <w:rPr>
                <w:rFonts w:eastAsia="宋体"/>
                <w:sz w:val="21"/>
                <w:highlight w:val="none"/>
                <w:u w:val="none"/>
                <w:lang w:val="en-US" w:eastAsia="zh-CN"/>
              </w:rPr>
            </w:pPr>
            <w:r>
              <w:rPr>
                <w:rFonts w:hint="eastAsia" w:ascii="仿宋_GB2312" w:eastAsia="仿宋_GB2312" w:cs="宋体"/>
                <w:color w:val="auto"/>
                <w:sz w:val="22"/>
                <w:szCs w:val="22"/>
                <w:highlight w:val="none"/>
                <w:u w:val="none"/>
                <w:lang w:val="en-US" w:eastAsia="zh-CN" w:bidi="ar-SA"/>
              </w:rPr>
              <w:t>第二十九条 第三款  违反本办法规定，未规范填写、运行危险废物转移联单，及时改正，且没有造成危害后果的，依法不予行政处罚；主动消除或者减轻危害后果的，生态环境主管部门可以依法从轻或者减轻行政处罚。</w:t>
            </w:r>
          </w:p>
        </w:tc>
        <w:tc>
          <w:tcPr>
            <w:tcW w:w="1881" w:type="dxa"/>
            <w:vMerge w:val="restart"/>
            <w:vAlign w:val="center"/>
          </w:tcPr>
          <w:p w14:paraId="6A6728D8">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宋体" w:hAnsi="宋体" w:eastAsia="宋体" w:cs="宋体"/>
                <w:color w:val="000000"/>
                <w:kern w:val="0"/>
                <w:sz w:val="24"/>
                <w:szCs w:val="24"/>
                <w:highlight w:val="none"/>
                <w:u w:val="none"/>
                <w:lang w:val="en-US" w:eastAsia="zh-CN"/>
              </w:rPr>
            </w:pPr>
          </w:p>
        </w:tc>
      </w:tr>
      <w:tr w14:paraId="75AF9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33" w:hRule="atLeast"/>
        </w:trPr>
        <w:tc>
          <w:tcPr>
            <w:tcW w:w="880" w:type="dxa"/>
            <w:vMerge w:val="continue"/>
            <w:vAlign w:val="center"/>
          </w:tcPr>
          <w:p w14:paraId="01A09761"/>
        </w:tc>
        <w:tc>
          <w:tcPr>
            <w:tcW w:w="1560" w:type="dxa"/>
            <w:vMerge w:val="continue"/>
            <w:vAlign w:val="center"/>
          </w:tcPr>
          <w:p w14:paraId="13B65F47"/>
        </w:tc>
        <w:tc>
          <w:tcPr>
            <w:tcW w:w="3928" w:type="dxa"/>
            <w:vAlign w:val="center"/>
          </w:tcPr>
          <w:p w14:paraId="640FC39F">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（2）未按照</w:t>
            </w:r>
            <w:r>
              <w:rPr>
                <w:rFonts w:hint="eastAsia" w:ascii="仿宋_GB2312" w:eastAsia="仿宋_GB2312" w:cs="宋体"/>
                <w:color w:val="auto"/>
                <w:sz w:val="22"/>
                <w:szCs w:val="22"/>
                <w:highlight w:val="yellow"/>
                <w:u w:val="none"/>
                <w:lang w:val="en-US" w:eastAsia="zh-CN" w:bidi="ar-SA"/>
              </w:rPr>
              <w:t>国家</w:t>
            </w:r>
            <w:r>
              <w:rPr>
                <w:rFonts w:hint="eastAsia" w:ascii="仿宋_GB2312" w:cs="宋体"/>
                <w:color w:val="auto"/>
                <w:sz w:val="22"/>
                <w:szCs w:val="22"/>
                <w:highlight w:val="yellow"/>
                <w:u w:val="none"/>
                <w:lang w:val="en-US" w:eastAsia="zh-CN" w:bidi="ar-SA"/>
              </w:rPr>
              <w:t>规定和生态</w:t>
            </w:r>
            <w:r>
              <w:rPr>
                <w:rFonts w:hint="eastAsia" w:ascii="仿宋_GB2312" w:eastAsia="仿宋_GB2312" w:cs="宋体"/>
                <w:color w:val="auto"/>
                <w:sz w:val="22"/>
                <w:szCs w:val="22"/>
                <w:highlight w:val="none"/>
                <w:u w:val="none"/>
                <w:lang w:val="en-US" w:eastAsia="zh-CN" w:bidi="ar-SA"/>
              </w:rPr>
              <w:t>环境保护标准</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临时</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贮存危险废物（除含一类污染物、有毒有害物质、放射性物质、重金属、持久性有机污染物外）：</w:t>
            </w:r>
          </w:p>
          <w:p w14:paraId="4092C994">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数量在0.2吨以下，违法行为持续时间不超过3个月，且未造成明显的扬散、流失、渗漏或其他环境污染后果，</w:t>
            </w:r>
            <w:r>
              <w:rPr>
                <w:rFonts w:hint="eastAsia" w:ascii="仿宋_GB2312" w:cs="宋体"/>
                <w:color w:val="auto"/>
                <w:sz w:val="22"/>
                <w:szCs w:val="22"/>
                <w:highlight w:val="none"/>
                <w:u w:val="none"/>
                <w:lang w:val="en-US" w:eastAsia="zh-CN" w:bidi="ar-SA"/>
              </w:rPr>
              <w:t>期间没有</w:t>
            </w:r>
            <w:r>
              <w:rPr>
                <w:rFonts w:hint="eastAsia" w:ascii="仿宋_GB2312" w:cs="宋体"/>
                <w:color w:val="auto"/>
                <w:sz w:val="22"/>
                <w:szCs w:val="22"/>
                <w:highlight w:val="yellow"/>
                <w:u w:val="none"/>
                <w:lang w:val="en-US" w:eastAsia="zh-CN" w:bidi="ar-SA"/>
              </w:rPr>
              <w:t>发现</w:t>
            </w:r>
            <w:r>
              <w:rPr>
                <w:rFonts w:hint="eastAsia" w:ascii="仿宋_GB2312" w:eastAsia="仿宋_GB2312" w:cs="宋体"/>
                <w:color w:val="auto"/>
                <w:sz w:val="22"/>
                <w:szCs w:val="22"/>
                <w:highlight w:val="none"/>
                <w:u w:val="none"/>
                <w:lang w:val="en-US" w:eastAsia="zh-CN" w:bidi="ar-SA"/>
              </w:rPr>
              <w:t>其他违反危险废物管理要求的行为，并在5个工作日内改正的。</w:t>
            </w:r>
          </w:p>
        </w:tc>
        <w:tc>
          <w:tcPr>
            <w:tcW w:w="6273" w:type="dxa"/>
            <w:vMerge w:val="continue"/>
            <w:vAlign w:val="center"/>
          </w:tcPr>
          <w:p w14:paraId="2F8340D0"/>
        </w:tc>
        <w:tc>
          <w:tcPr>
            <w:tcW w:w="1881" w:type="dxa"/>
            <w:vMerge w:val="continue"/>
            <w:vAlign w:val="center"/>
          </w:tcPr>
          <w:p w14:paraId="6136CEEB"/>
        </w:tc>
      </w:tr>
      <w:tr w14:paraId="67F286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90" w:hRule="atLeast"/>
        </w:trPr>
        <w:tc>
          <w:tcPr>
            <w:tcW w:w="880" w:type="dxa"/>
            <w:vMerge w:val="continue"/>
            <w:vAlign w:val="center"/>
          </w:tcPr>
          <w:p w14:paraId="319BE323"/>
        </w:tc>
        <w:tc>
          <w:tcPr>
            <w:tcW w:w="1560" w:type="dxa"/>
            <w:vMerge w:val="continue"/>
            <w:vAlign w:val="center"/>
          </w:tcPr>
          <w:p w14:paraId="0663B990"/>
        </w:tc>
        <w:tc>
          <w:tcPr>
            <w:tcW w:w="3928" w:type="dxa"/>
            <w:vAlign w:val="center"/>
          </w:tcPr>
          <w:p w14:paraId="4BEEDB48">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（3）未</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按照国家有关规定</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建立危险废物管理台账并如实记录的：</w:t>
            </w:r>
          </w:p>
          <w:p w14:paraId="572597D1">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未</w:t>
            </w:r>
            <w:r>
              <w:rPr>
                <w:rFonts w:hint="eastAsia" w:ascii="仿宋_GB2312" w:eastAsia="仿宋_GB2312" w:cs="宋体"/>
                <w:color w:val="auto"/>
                <w:sz w:val="22"/>
                <w:szCs w:val="22"/>
                <w:highlight w:val="yellow"/>
                <w:u w:val="none"/>
                <w:lang w:val="en-US" w:eastAsia="zh-CN" w:bidi="ar-SA"/>
              </w:rPr>
              <w:t>建立危险废物管理台账</w:t>
            </w:r>
            <w:r>
              <w:rPr>
                <w:rFonts w:hint="eastAsia" w:ascii="仿宋_GB2312" w:cs="宋体"/>
                <w:color w:val="auto"/>
                <w:sz w:val="22"/>
                <w:szCs w:val="22"/>
                <w:highlight w:val="yellow"/>
                <w:u w:val="none"/>
                <w:lang w:val="en-US" w:eastAsia="zh-CN" w:bidi="ar-SA"/>
              </w:rPr>
              <w:t>的：在5个工作日内完成补建，违法持续时间补超过3个月，未造成明显环境污染后果，期间没有发现其他违反危险废物管理要求的行为；</w:t>
            </w:r>
            <w:r>
              <w:rPr>
                <w:rFonts w:hint="eastAsia" w:ascii="仿宋_GB2312" w:eastAsia="仿宋_GB2312" w:cs="宋体"/>
                <w:color w:val="auto"/>
                <w:sz w:val="22"/>
                <w:szCs w:val="22"/>
                <w:highlight w:val="none"/>
                <w:u w:val="none"/>
                <w:lang w:val="en-US" w:eastAsia="zh-CN" w:bidi="ar-SA"/>
              </w:rPr>
              <w:t>已建立危险废物管理台账但记录不全面</w:t>
            </w:r>
            <w:r>
              <w:rPr>
                <w:rFonts w:hint="eastAsia" w:ascii="仿宋_GB2312" w:eastAsia="仿宋_GB2312" w:cs="宋体"/>
                <w:color w:val="auto"/>
                <w:sz w:val="22"/>
                <w:szCs w:val="22"/>
                <w:highlight w:val="yellow"/>
                <w:u w:val="none"/>
                <w:lang w:val="en-US" w:eastAsia="zh-CN" w:bidi="ar-SA"/>
              </w:rPr>
              <w:t>（记录弄虚作假的除外）</w:t>
            </w:r>
            <w:r>
              <w:rPr>
                <w:rFonts w:hint="eastAsia" w:ascii="仿宋_GB2312" w:cs="宋体"/>
                <w:color w:val="auto"/>
                <w:sz w:val="22"/>
                <w:szCs w:val="22"/>
                <w:highlight w:val="yellow"/>
                <w:u w:val="none"/>
                <w:lang w:val="en-US" w:eastAsia="zh-CN" w:bidi="ar-SA"/>
              </w:rPr>
              <w:t>的</w:t>
            </w:r>
            <w:r>
              <w:rPr>
                <w:rFonts w:hint="eastAsia" w:ascii="仿宋_GB2312" w:eastAsia="仿宋_GB2312" w:cs="宋体"/>
                <w:color w:val="auto"/>
                <w:sz w:val="22"/>
                <w:szCs w:val="22"/>
                <w:highlight w:val="none"/>
                <w:u w:val="none"/>
                <w:lang w:val="en-US" w:eastAsia="zh-CN" w:bidi="ar-SA"/>
              </w:rPr>
              <w:t>，违法行为持续时间不超过3个月，未造成</w:t>
            </w:r>
            <w:r>
              <w:rPr>
                <w:rFonts w:hint="eastAsia" w:ascii="仿宋_GB2312" w:hAnsi="Times New Roman" w:eastAsia="仿宋_GB2312" w:cs="宋体"/>
                <w:color w:val="auto"/>
                <w:kern w:val="0"/>
                <w:sz w:val="22"/>
                <w:szCs w:val="22"/>
                <w:highlight w:val="none"/>
                <w:u w:val="none"/>
                <w:lang w:val="en-US" w:eastAsia="zh-CN" w:bidi="ar-SA"/>
              </w:rPr>
              <w:t>明显环境</w:t>
            </w:r>
            <w:r>
              <w:rPr>
                <w:rFonts w:hint="eastAsia" w:ascii="仿宋_GB2312" w:eastAsia="仿宋_GB2312" w:cs="宋体"/>
                <w:color w:val="auto"/>
                <w:sz w:val="22"/>
                <w:szCs w:val="22"/>
                <w:highlight w:val="none"/>
                <w:u w:val="none"/>
                <w:lang w:val="en-US" w:eastAsia="zh-CN" w:bidi="ar-SA"/>
              </w:rPr>
              <w:t>污染后果，</w:t>
            </w:r>
            <w:r>
              <w:rPr>
                <w:rFonts w:hint="eastAsia" w:ascii="仿宋_GB2312" w:cs="宋体"/>
                <w:color w:val="auto"/>
                <w:sz w:val="22"/>
                <w:szCs w:val="22"/>
                <w:highlight w:val="none"/>
                <w:u w:val="none"/>
                <w:lang w:eastAsia="zh-CN" w:bidi="ar-SA"/>
              </w:rPr>
              <w:t>期间没有</w:t>
            </w:r>
            <w:r>
              <w:rPr>
                <w:rFonts w:hint="eastAsia" w:ascii="仿宋_GB2312" w:cs="宋体"/>
                <w:color w:val="auto"/>
                <w:sz w:val="22"/>
                <w:szCs w:val="22"/>
                <w:highlight w:val="yellow"/>
                <w:u w:val="none"/>
                <w:lang w:eastAsia="zh-CN" w:bidi="ar-SA"/>
              </w:rPr>
              <w:t>发现</w:t>
            </w:r>
            <w:r>
              <w:rPr>
                <w:rFonts w:hint="eastAsia" w:ascii="仿宋_GB2312" w:eastAsia="仿宋_GB2312" w:cs="宋体"/>
                <w:color w:val="auto"/>
                <w:sz w:val="22"/>
                <w:szCs w:val="22"/>
                <w:highlight w:val="none"/>
                <w:u w:val="none"/>
                <w:lang w:val="en-US" w:eastAsia="zh-CN" w:bidi="ar-SA"/>
              </w:rPr>
              <w:t>其他违反危险废物管理要求的行为，并在5个工作日内改正的</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（记录弄虚作假的除外）</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w:t>
            </w:r>
          </w:p>
        </w:tc>
        <w:tc>
          <w:tcPr>
            <w:tcW w:w="6273" w:type="dxa"/>
            <w:vMerge w:val="continue"/>
            <w:vAlign w:val="center"/>
          </w:tcPr>
          <w:p w14:paraId="78F358D1"/>
        </w:tc>
        <w:tc>
          <w:tcPr>
            <w:tcW w:w="1881" w:type="dxa"/>
            <w:vMerge w:val="continue"/>
            <w:vAlign w:val="center"/>
          </w:tcPr>
          <w:p w14:paraId="2CD39B40"/>
        </w:tc>
      </w:tr>
      <w:tr w14:paraId="3FFD03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05" w:hRule="atLeast"/>
        </w:trPr>
        <w:tc>
          <w:tcPr>
            <w:tcW w:w="880" w:type="dxa"/>
            <w:vMerge w:val="continue"/>
            <w:vAlign w:val="center"/>
          </w:tcPr>
          <w:p w14:paraId="1F78D08C"/>
        </w:tc>
        <w:tc>
          <w:tcPr>
            <w:tcW w:w="1560" w:type="dxa"/>
            <w:vMerge w:val="continue"/>
            <w:vAlign w:val="center"/>
          </w:tcPr>
          <w:p w14:paraId="79E47E5A"/>
        </w:tc>
        <w:tc>
          <w:tcPr>
            <w:tcW w:w="3928" w:type="dxa"/>
            <w:vAlign w:val="center"/>
          </w:tcPr>
          <w:p w14:paraId="1ED52B5B">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（4）未</w:t>
            </w: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规范</w:t>
            </w:r>
            <w:r>
              <w:rPr>
                <w:rFonts w:ascii="Times New Roman" w:hAnsi="Times New Roman" w:eastAsia="楷体" w:cs="Times New Roman"/>
                <w:sz w:val="22"/>
                <w:szCs w:val="22"/>
              </w:rPr>
              <w:t>】</w:t>
            </w:r>
            <w:r>
              <w:rPr>
                <w:rFonts w:hint="eastAsia" w:ascii="仿宋_GB2312" w:eastAsia="仿宋_GB2312" w:cs="宋体"/>
                <w:color w:val="auto"/>
                <w:sz w:val="22"/>
                <w:szCs w:val="22"/>
                <w:highlight w:val="none"/>
                <w:u w:val="none"/>
                <w:lang w:val="en-US" w:eastAsia="zh-CN" w:bidi="ar-SA"/>
              </w:rPr>
              <w:t>填写、运行危险废物转移联单：</w:t>
            </w:r>
          </w:p>
          <w:p w14:paraId="2D16E612">
            <w:pPr>
              <w:keepNext w:val="0"/>
              <w:keepLines w:val="0"/>
              <w:pageBreakBefore w:val="0"/>
              <w:widowControl w:val="0"/>
              <w:kinsoku/>
              <w:wordWrap/>
              <w:topLinePunct w:val="0"/>
              <w:bidi w:val="0"/>
              <w:snapToGrid/>
              <w:spacing w:beforeAutospacing="0" w:afterAutospacing="0" w:line="320" w:lineRule="exact"/>
              <w:jc w:val="both"/>
              <w:rPr>
                <w:rFonts w:hint="eastAsia" w:eastAsia="宋体"/>
                <w:sz w:val="21"/>
                <w:highlight w:val="none"/>
                <w:u w:val="none"/>
                <w:lang w:val="en-US" w:eastAsia="zh-CN"/>
              </w:rPr>
            </w:pPr>
            <w:r>
              <w:rPr>
                <w:rFonts w:hint="eastAsia" w:ascii="仿宋_GB2312" w:eastAsia="仿宋_GB2312" w:cs="宋体"/>
                <w:color w:val="auto"/>
                <w:sz w:val="22"/>
                <w:szCs w:val="22"/>
                <w:highlight w:val="none"/>
                <w:u w:val="none"/>
                <w:lang w:val="en-US" w:eastAsia="zh-CN" w:bidi="ar-SA"/>
              </w:rPr>
              <w:t>违法行为持续时间不超过3个月，未造成</w:t>
            </w:r>
            <w:r>
              <w:rPr>
                <w:rFonts w:hint="eastAsia" w:ascii="仿宋_GB2312" w:hAnsi="Times New Roman" w:eastAsia="仿宋_GB2312" w:cs="宋体"/>
                <w:color w:val="auto"/>
                <w:kern w:val="0"/>
                <w:sz w:val="22"/>
                <w:szCs w:val="22"/>
                <w:highlight w:val="none"/>
                <w:u w:val="none"/>
                <w:lang w:val="en-US" w:eastAsia="zh-CN" w:bidi="ar-SA"/>
              </w:rPr>
              <w:t>明显环境</w:t>
            </w:r>
            <w:r>
              <w:rPr>
                <w:rFonts w:hint="eastAsia" w:ascii="仿宋_GB2312" w:eastAsia="仿宋_GB2312" w:cs="宋体"/>
                <w:color w:val="auto"/>
                <w:sz w:val="22"/>
                <w:szCs w:val="22"/>
                <w:highlight w:val="none"/>
                <w:u w:val="none"/>
                <w:lang w:val="en-US" w:eastAsia="zh-CN" w:bidi="ar-SA"/>
              </w:rPr>
              <w:t>污染后果，并在5个工作日内改正的（记录弄虚作假的除外）。</w:t>
            </w:r>
          </w:p>
        </w:tc>
        <w:tc>
          <w:tcPr>
            <w:tcW w:w="6273" w:type="dxa"/>
            <w:vMerge w:val="continue"/>
            <w:vAlign w:val="center"/>
          </w:tcPr>
          <w:p w14:paraId="1CCA3349"/>
        </w:tc>
        <w:tc>
          <w:tcPr>
            <w:tcW w:w="1881" w:type="dxa"/>
            <w:vMerge w:val="continue"/>
            <w:vAlign w:val="center"/>
          </w:tcPr>
          <w:p w14:paraId="1BA02CB6"/>
        </w:tc>
      </w:tr>
      <w:tr w14:paraId="3ADA0A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23" w:hRule="atLeast"/>
        </w:trPr>
        <w:tc>
          <w:tcPr>
            <w:tcW w:w="880" w:type="dxa"/>
            <w:vAlign w:val="center"/>
          </w:tcPr>
          <w:p w14:paraId="1FCC6AC0">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14</w:t>
            </w:r>
          </w:p>
        </w:tc>
        <w:tc>
          <w:tcPr>
            <w:tcW w:w="1560" w:type="dxa"/>
            <w:vAlign w:val="center"/>
          </w:tcPr>
          <w:p w14:paraId="4A9B20B1">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ascii="Times New Roman" w:hAnsi="Times New Roman" w:eastAsia="楷体" w:cs="Times New Roman"/>
                <w:strike w:val="0"/>
                <w:dstrike w:val="0"/>
                <w:color w:val="auto"/>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对产生含挥发性有机物废气的生产和服务活动未在密闭空间或设备进行的处罚</w:t>
            </w:r>
            <w:r>
              <w:rPr>
                <w:rFonts w:ascii="Times New Roman" w:hAnsi="Times New Roman" w:eastAsia="楷体" w:cs="Times New Roman"/>
                <w:strike w:val="0"/>
                <w:dstrike w:val="0"/>
                <w:color w:val="auto"/>
                <w:sz w:val="22"/>
                <w:szCs w:val="22"/>
                <w:highlight w:val="none"/>
              </w:rPr>
              <w:t>】</w:t>
            </w:r>
            <w:r>
              <w:rPr>
                <w:rFonts w:hint="eastAsia" w:ascii="仿宋_GB2312" w:hAnsi="Calibri" w:eastAsia="仿宋_GB2312" w:cs="宋体"/>
                <w:strike w:val="0"/>
                <w:dstrike w:val="0"/>
                <w:color w:val="auto"/>
                <w:kern w:val="2"/>
                <w:sz w:val="22"/>
                <w:szCs w:val="22"/>
                <w:highlight w:val="yellow"/>
                <w:u w:val="none"/>
                <w:lang w:val="en-US" w:eastAsia="zh-CN" w:bidi="ar-SA"/>
              </w:rPr>
              <w:t>对生产、使用含挥发性有机物的原辅材料和产品</w:t>
            </w:r>
            <w:r>
              <w:rPr>
                <w:rFonts w:hint="eastAsia" w:ascii="仿宋_GB2312" w:hAnsi="Calibri" w:cs="宋体"/>
                <w:strike w:val="0"/>
                <w:dstrike w:val="0"/>
                <w:color w:val="auto"/>
                <w:kern w:val="2"/>
                <w:sz w:val="22"/>
                <w:szCs w:val="22"/>
                <w:highlight w:val="yellow"/>
                <w:u w:val="none"/>
                <w:lang w:val="en-US" w:eastAsia="zh-CN" w:bidi="ar-SA"/>
              </w:rPr>
              <w:t>，</w:t>
            </w:r>
            <w:r>
              <w:rPr>
                <w:rFonts w:hint="eastAsia" w:ascii="仿宋_GB2312" w:hAnsi="Calibri" w:eastAsia="仿宋_GB2312" w:cs="宋体"/>
                <w:strike w:val="0"/>
                <w:dstrike w:val="0"/>
                <w:color w:val="auto"/>
                <w:kern w:val="2"/>
                <w:sz w:val="22"/>
                <w:szCs w:val="22"/>
                <w:highlight w:val="yellow"/>
                <w:u w:val="none"/>
                <w:lang w:val="en-US" w:eastAsia="zh-CN" w:bidi="ar-SA"/>
              </w:rPr>
              <w:t>未按照</w:t>
            </w:r>
            <w:r>
              <w:rPr>
                <w:rFonts w:hint="eastAsia" w:ascii="仿宋_GB2312" w:hAnsi="Calibri" w:cs="宋体"/>
                <w:strike w:val="0"/>
                <w:dstrike w:val="0"/>
                <w:color w:val="auto"/>
                <w:kern w:val="2"/>
                <w:sz w:val="22"/>
                <w:szCs w:val="22"/>
                <w:highlight w:val="yellow"/>
                <w:u w:val="none"/>
                <w:lang w:val="en-US" w:eastAsia="zh-CN" w:bidi="ar-SA"/>
              </w:rPr>
              <w:t>国家</w:t>
            </w:r>
            <w:r>
              <w:rPr>
                <w:rFonts w:hint="eastAsia" w:ascii="仿宋_GB2312" w:hAnsi="Calibri" w:eastAsia="仿宋_GB2312" w:cs="宋体"/>
                <w:strike w:val="0"/>
                <w:dstrike w:val="0"/>
                <w:color w:val="auto"/>
                <w:kern w:val="2"/>
                <w:sz w:val="22"/>
                <w:szCs w:val="22"/>
                <w:highlight w:val="yellow"/>
                <w:u w:val="none"/>
                <w:lang w:val="en-US" w:eastAsia="zh-CN" w:bidi="ar-SA"/>
              </w:rPr>
              <w:t>规定在密闭空间、设备中进行的处罚</w:t>
            </w:r>
          </w:p>
        </w:tc>
        <w:tc>
          <w:tcPr>
            <w:tcW w:w="3928" w:type="dxa"/>
            <w:vAlign w:val="center"/>
          </w:tcPr>
          <w:p w14:paraId="3E1D8A45">
            <w:pPr>
              <w:pStyle w:val="7"/>
              <w:rPr>
                <w:rFonts w:hint="eastAsia" w:ascii="仿宋_GB2312" w:eastAsia="仿宋_GB2312" w:cs="宋体"/>
                <w:color w:val="auto"/>
                <w:sz w:val="22"/>
                <w:szCs w:val="22"/>
                <w:highlight w:val="none"/>
                <w:u w:val="none"/>
                <w:lang w:val="en-US" w:eastAsia="zh-CN" w:bidi="ar-SA"/>
              </w:rPr>
            </w:pPr>
            <w:r>
              <w:rPr>
                <w:rFonts w:ascii="Times New Roman" w:hAnsi="Times New Roman" w:eastAsia="楷体" w:cs="Times New Roman"/>
                <w:strike w:val="0"/>
                <w:dstrike w:val="0"/>
                <w:color w:val="auto"/>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产生含挥发性有机物废气的生产和服务活动，应当在密闭空间或者设备中进行且可以密闭</w:t>
            </w:r>
            <w:r>
              <w:rPr>
                <w:rFonts w:ascii="Times New Roman" w:hAnsi="Times New Roman" w:eastAsia="楷体" w:cs="Times New Roman"/>
                <w:strike w:val="0"/>
                <w:dstrike w:val="0"/>
                <w:color w:val="auto"/>
                <w:sz w:val="22"/>
                <w:szCs w:val="22"/>
                <w:highlight w:val="none"/>
              </w:rPr>
              <w:t>】</w:t>
            </w:r>
            <w:r>
              <w:rPr>
                <w:rFonts w:hint="eastAsia" w:ascii="仿宋_GB2312" w:hAnsi="Calibri" w:eastAsia="仿宋_GB2312" w:cs="宋体"/>
                <w:strike w:val="0"/>
                <w:dstrike w:val="0"/>
                <w:color w:val="auto"/>
                <w:kern w:val="2"/>
                <w:sz w:val="22"/>
                <w:szCs w:val="22"/>
                <w:highlight w:val="yellow"/>
                <w:u w:val="none"/>
                <w:lang w:val="en-US" w:eastAsia="zh-CN" w:bidi="ar-SA"/>
              </w:rPr>
              <w:t>生产、使用含挥发性有机物的原辅材料和产品，应当按照国家规定，在密闭空间、设备中进行</w:t>
            </w:r>
            <w:r>
              <w:rPr>
                <w:rFonts w:hint="eastAsia" w:ascii="仿宋_GB2312" w:eastAsia="仿宋_GB2312" w:cs="宋体"/>
                <w:color w:val="auto"/>
                <w:sz w:val="22"/>
                <w:szCs w:val="22"/>
                <w:highlight w:val="none"/>
                <w:u w:val="none"/>
                <w:lang w:val="en-US" w:eastAsia="zh-CN" w:bidi="ar-SA"/>
              </w:rPr>
              <w:t>，但因未关闭空间或者设备而导致未在密闭空间或者设备中进行，已按照规定安装、使用污染防治设施，并当场改正的。</w:t>
            </w:r>
          </w:p>
        </w:tc>
        <w:tc>
          <w:tcPr>
            <w:tcW w:w="6273" w:type="dxa"/>
            <w:vAlign w:val="center"/>
          </w:tcPr>
          <w:p w14:paraId="20334879">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hint="eastAsia" w:ascii="仿宋_GB2312" w:hAnsi="Calibri" w:eastAsia="仿宋_GB2312" w:cs="宋体"/>
                <w:strike w:val="0"/>
                <w:dstrike w:val="0"/>
                <w:color w:val="auto"/>
                <w:kern w:val="2"/>
                <w:sz w:val="22"/>
                <w:szCs w:val="22"/>
                <w:highlight w:val="yellow"/>
                <w:u w:val="none"/>
                <w:lang w:val="en-US" w:eastAsia="zh-CN" w:bidi="ar-SA"/>
              </w:rPr>
              <w:t>第二百一十四条　生产、使用含挥发性有机物的原辅材料和产品，应当按照国家规定，在密闭空间、设备中进行并安装、使用污染防治设施，或者采取有效措施减少废气排放。</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ascii="仿宋_GB2312" w:hAnsi="Calibri" w:eastAsia="仿宋_GB2312" w:cs="宋体"/>
                <w:strike w:val="0"/>
                <w:dstrike w:val="0"/>
                <w:color w:val="auto"/>
                <w:kern w:val="2"/>
                <w:sz w:val="22"/>
                <w:szCs w:val="22"/>
                <w:highlight w:val="yellow"/>
                <w:u w:val="none"/>
                <w:lang w:val="en-US" w:eastAsia="zh-CN" w:bidi="ar-SA"/>
              </w:rPr>
              <w:t>第一千一百二十条</w:t>
            </w:r>
            <w:r>
              <w:rPr>
                <w:rFonts w:hint="eastAsia" w:ascii="仿宋_GB2312" w:hAnsi="Calibri" w:cs="宋体"/>
                <w:strike w:val="0"/>
                <w:dstrike w:val="0"/>
                <w:color w:val="auto"/>
                <w:kern w:val="2"/>
                <w:sz w:val="22"/>
                <w:szCs w:val="22"/>
                <w:highlight w:val="yellow"/>
                <w:u w:val="none"/>
                <w:lang w:val="en-US" w:eastAsia="zh-CN" w:bidi="ar-SA"/>
              </w:rPr>
              <w:t>第一款</w:t>
            </w:r>
            <w:r>
              <w:rPr>
                <w:rFonts w:ascii="仿宋_GB2312" w:hAnsi="Calibri" w:eastAsia="仿宋_GB2312" w:cs="宋体"/>
                <w:strike w:val="0"/>
                <w:dstrike w:val="0"/>
                <w:color w:val="auto"/>
                <w:kern w:val="2"/>
                <w:sz w:val="22"/>
                <w:szCs w:val="22"/>
                <w:highlight w:val="yellow"/>
                <w:u w:val="none"/>
                <w:lang w:val="en-US" w:eastAsia="zh-CN" w:bidi="ar-SA"/>
              </w:rPr>
              <w:t>　违反本法规定，有下列情形之一的，由生态环境主管部门责令改正，处二万元以上二十万元以下的罚款；拒不改正的，责令停产整治：</w:t>
            </w:r>
            <w:r>
              <w:rPr>
                <w:rFonts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hint="eastAsia" w:ascii="仿宋_GB2312" w:hAnsi="Calibri"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ascii="仿宋_GB2312" w:hAnsi="Calibri" w:eastAsia="仿宋_GB2312" w:cs="宋体"/>
                <w:strike w:val="0"/>
                <w:dstrike w:val="0"/>
                <w:color w:val="auto"/>
                <w:kern w:val="2"/>
                <w:sz w:val="22"/>
                <w:szCs w:val="22"/>
                <w:highlight w:val="yellow"/>
                <w:u w:val="none"/>
                <w:lang w:val="en-US" w:eastAsia="zh-CN" w:bidi="ar-SA"/>
              </w:rPr>
              <w:t>（二）生产和使用产生含挥发性有机物原辅材料和产品，未在密闭空间或者设备中进行并安装、使用污染防治设施或者未采取减少废气排放措施；</w:t>
            </w:r>
            <w:r>
              <w:rPr>
                <w:rFonts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none"/>
                <w:u w:val="none"/>
                <w:lang w:val="en-US" w:eastAsia="zh-CN" w:bidi="ar-SA"/>
              </w:rPr>
              <w:t xml:space="preserve">   </w:t>
            </w:r>
            <w:r>
              <w:rPr>
                <w:rFonts w:ascii="Times New Roman" w:hAnsi="Times New Roman" w:eastAsia="楷体" w:cs="Times New Roman"/>
                <w:strike w:val="0"/>
                <w:dstrike w:val="0"/>
                <w:color w:val="auto"/>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《中华人民共和国大气污染防治法》（2018年修订）</w:t>
            </w:r>
          </w:p>
          <w:p w14:paraId="4EAE2876">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第四十五条　产生含挥发性有机物废气的生产和服务活动，应当在密闭空间或者设备中进行，并按照规定安装、使用污染防治设施；无法密闭的，应当采取措施减少废气排放。</w:t>
            </w:r>
          </w:p>
          <w:p w14:paraId="66B7C0CA">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第一百零八条　违反本法规定，有下列行为之一的，由县级以上人民政府生态环境主管部门责令改正，处二万元以上二十万元以下的罚款；拒不改正的，责令停产整治：</w:t>
            </w:r>
          </w:p>
          <w:p w14:paraId="5DEC51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70" w:afterAutospacing="0"/>
              <w:ind w:left="0" w:right="0" w:firstLine="440" w:firstLineChars="200"/>
              <w:jc w:val="left"/>
              <w:rPr>
                <w:rFonts w:ascii="微软雅黑" w:hAnsi="微软雅黑" w:eastAsia="微软雅黑" w:cs="微软雅黑"/>
                <w:i w:val="0"/>
                <w:iCs w:val="0"/>
                <w:caps w:val="0"/>
                <w:smallCaps w:val="0"/>
                <w:color w:val="4C4C4C"/>
                <w:spacing w:val="0"/>
                <w:sz w:val="27"/>
                <w:szCs w:val="27"/>
              </w:rPr>
            </w:pPr>
            <w:r>
              <w:rPr>
                <w:rFonts w:hint="eastAsia" w:ascii="仿宋_GB2312" w:hAnsi="Calibri" w:eastAsia="仿宋_GB2312" w:cs="宋体"/>
                <w:strike w:val="0"/>
                <w:dstrike w:val="0"/>
                <w:color w:val="auto"/>
                <w:kern w:val="2"/>
                <w:sz w:val="22"/>
                <w:szCs w:val="22"/>
                <w:highlight w:val="lightGray"/>
                <w:u w:val="none"/>
                <w:lang w:val="en-US" w:eastAsia="zh-CN" w:bidi="ar-SA"/>
              </w:rPr>
              <w:t>（一）产生含挥发性有机物废气的生产和服务活动，未在密闭空间或者设备中进行，未按照规定安装、使用污染防治设施，或者未采取减少废气排放措施的。</w:t>
            </w:r>
            <w:r>
              <w:rPr>
                <w:rFonts w:ascii="Times New Roman" w:hAnsi="Times New Roman" w:eastAsia="楷体" w:cs="Times New Roman"/>
                <w:strike w:val="0"/>
                <w:dstrike w:val="0"/>
                <w:color w:val="auto"/>
                <w:sz w:val="22"/>
                <w:szCs w:val="22"/>
                <w:highlight w:val="none"/>
              </w:rPr>
              <w:t>】</w:t>
            </w:r>
            <w:r>
              <w:rPr>
                <w:rFonts w:hint="eastAsia" w:ascii="仿宋_GB2312" w:hAnsi="Calibri" w:eastAsia="仿宋_GB2312" w:cs="宋体"/>
                <w:strike/>
                <w:dstrike w:val="0"/>
                <w:color w:val="auto"/>
                <w:kern w:val="2"/>
                <w:sz w:val="22"/>
                <w:szCs w:val="22"/>
                <w:highlight w:val="none"/>
                <w:u w:val="none"/>
                <w:lang w:val="en-US" w:eastAsia="zh-CN" w:bidi="ar-SA"/>
              </w:rPr>
              <w:br w:type="textWrapping"/>
            </w:r>
          </w:p>
          <w:p w14:paraId="1EAFB0EA">
            <w:pPr>
              <w:keepNext w:val="0"/>
              <w:keepLines w:val="0"/>
              <w:widowControl/>
              <w:suppressLineNumbers w:val="0"/>
              <w:ind w:firstLine="440" w:firstLineChars="200"/>
              <w:jc w:val="left"/>
              <w:rPr>
                <w:rFonts w:ascii="仿宋_GB2312" w:hAnsi="Calibri" w:eastAsia="仿宋_GB2312" w:cs="宋体"/>
                <w:strike w:val="0"/>
                <w:dstrike w:val="0"/>
                <w:color w:val="auto"/>
                <w:kern w:val="2"/>
                <w:sz w:val="22"/>
                <w:szCs w:val="22"/>
                <w:highlight w:val="yellow"/>
                <w:u w:val="none"/>
                <w:lang w:val="en-US" w:eastAsia="zh-CN" w:bidi="ar-SA"/>
              </w:rPr>
            </w:pPr>
          </w:p>
          <w:p w14:paraId="0BD27BBC">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p>
        </w:tc>
        <w:tc>
          <w:tcPr>
            <w:tcW w:w="1881" w:type="dxa"/>
            <w:vAlign w:val="center"/>
          </w:tcPr>
          <w:p w14:paraId="26D707A7">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37E635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80" w:hRule="atLeast"/>
        </w:trPr>
        <w:tc>
          <w:tcPr>
            <w:tcW w:w="880" w:type="dxa"/>
            <w:vAlign w:val="center"/>
          </w:tcPr>
          <w:p w14:paraId="5557241A">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1</w:t>
            </w:r>
            <w:r>
              <w:rPr>
                <w:rFonts w:hint="eastAsia" w:ascii="仿宋_GB2312" w:cs="宋体"/>
                <w:color w:val="auto"/>
                <w:sz w:val="22"/>
                <w:szCs w:val="22"/>
                <w:highlight w:val="yellow"/>
                <w:u w:val="none"/>
                <w:lang w:val="en-US" w:eastAsia="zh-CN" w:bidi="ar-SA"/>
              </w:rPr>
              <w:t>5</w:t>
            </w:r>
          </w:p>
          <w:p w14:paraId="01C98713">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c>
          <w:tcPr>
            <w:tcW w:w="1560" w:type="dxa"/>
            <w:vAlign w:val="center"/>
          </w:tcPr>
          <w:p w14:paraId="16BD3712">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对</w:t>
            </w:r>
            <w:r>
              <w:rPr>
                <w:rFonts w:hint="eastAsia" w:ascii="仿宋_GB2312" w:eastAsia="仿宋_GB2312" w:cs="宋体"/>
                <w:color w:val="auto"/>
                <w:sz w:val="22"/>
                <w:szCs w:val="22"/>
                <w:highlight w:val="none"/>
                <w:u w:val="none"/>
                <w:lang w:val="en-US" w:eastAsia="zh-CN" w:bidi="ar-SA"/>
              </w:rPr>
              <w:t>企业</w:t>
            </w:r>
            <w:r>
              <w:rPr>
                <w:rFonts w:hint="eastAsia" w:ascii="仿宋_GB2312" w:eastAsia="仿宋_GB2312" w:cs="宋体"/>
                <w:color w:val="auto"/>
                <w:sz w:val="22"/>
                <w:szCs w:val="22"/>
                <w:highlight w:val="none"/>
                <w:u w:val="none"/>
                <w:lang w:bidi="ar-SA"/>
              </w:rPr>
              <w:t>未将环境信息上传至企业环境信息依法披露系统的处罚</w:t>
            </w:r>
          </w:p>
        </w:tc>
        <w:tc>
          <w:tcPr>
            <w:tcW w:w="3928" w:type="dxa"/>
            <w:vAlign w:val="center"/>
          </w:tcPr>
          <w:p w14:paraId="7496F59B">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bidi="ar-SA"/>
              </w:rPr>
            </w:pPr>
            <w:r>
              <w:rPr>
                <w:rFonts w:hint="eastAsia" w:ascii="仿宋_GB2312" w:eastAsia="仿宋_GB2312" w:cs="宋体"/>
                <w:color w:val="auto"/>
                <w:sz w:val="22"/>
                <w:szCs w:val="22"/>
                <w:highlight w:val="none"/>
                <w:u w:val="none"/>
                <w:lang w:bidi="ar-SA"/>
              </w:rPr>
              <w:t>违法行为持续时间不超过3个月，</w:t>
            </w:r>
            <w:r>
              <w:rPr>
                <w:rFonts w:hint="eastAsia" w:ascii="仿宋_GB2312" w:eastAsia="仿宋_GB2312" w:cs="宋体"/>
                <w:color w:val="auto"/>
                <w:sz w:val="22"/>
                <w:szCs w:val="22"/>
                <w:highlight w:val="none"/>
                <w:u w:val="none"/>
                <w:lang w:val="en-US" w:eastAsia="zh-CN" w:bidi="ar-SA"/>
              </w:rPr>
              <w:t>并在</w:t>
            </w:r>
            <w:r>
              <w:rPr>
                <w:rFonts w:hint="eastAsia" w:ascii="仿宋_GB2312" w:eastAsia="仿宋_GB2312" w:cs="宋体"/>
                <w:color w:val="auto"/>
                <w:sz w:val="22"/>
                <w:szCs w:val="22"/>
                <w:highlight w:val="none"/>
                <w:u w:val="none"/>
                <w:lang w:bidi="ar-SA"/>
              </w:rPr>
              <w:t>5个工作日内</w:t>
            </w:r>
            <w:r>
              <w:rPr>
                <w:rFonts w:hint="eastAsia" w:ascii="仿宋_GB2312" w:eastAsia="仿宋_GB2312" w:cs="宋体"/>
                <w:color w:val="auto"/>
                <w:sz w:val="22"/>
                <w:szCs w:val="22"/>
                <w:highlight w:val="none"/>
                <w:u w:val="none"/>
                <w:lang w:eastAsia="zh-CN" w:bidi="ar-SA"/>
              </w:rPr>
              <w:t>改正</w:t>
            </w:r>
            <w:r>
              <w:rPr>
                <w:rFonts w:hint="eastAsia" w:ascii="仿宋_GB2312" w:eastAsia="仿宋_GB2312" w:cs="宋体"/>
                <w:color w:val="auto"/>
                <w:sz w:val="22"/>
                <w:szCs w:val="22"/>
                <w:highlight w:val="none"/>
                <w:u w:val="none"/>
                <w:lang w:bidi="ar-SA"/>
              </w:rPr>
              <w:t>的。（披露信息存在弄虚作假的除外）</w:t>
            </w:r>
          </w:p>
        </w:tc>
        <w:tc>
          <w:tcPr>
            <w:tcW w:w="6273" w:type="dxa"/>
            <w:vAlign w:val="center"/>
          </w:tcPr>
          <w:p w14:paraId="1F99EB49">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hAnsi="Calibri" w:eastAsia="仿宋_GB2312" w:cs="宋体"/>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1.</w:t>
            </w: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eastAsia="仿宋_GB2312" w:cs="宋体"/>
                <w:strike w:val="0"/>
                <w:dstrike w:val="0"/>
                <w:color w:val="auto"/>
                <w:kern w:val="2"/>
                <w:sz w:val="22"/>
                <w:szCs w:val="22"/>
                <w:highlight w:val="yellow"/>
                <w:u w:val="none"/>
                <w:lang w:val="en-US" w:eastAsia="zh-CN" w:bidi="ar-SA"/>
              </w:rPr>
              <w:t xml:space="preserve">    第一百四十条第一款  实行排污许可重点管理和其他法定的应当披露生态环境信息的企业事业单位和其他生产经营者，应当依法及时、真实、准确、完整披露污染物排放信息、温室气体排放信息等生态环境信息。</w:t>
            </w:r>
          </w:p>
          <w:p w14:paraId="5764176D">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hAnsi="Calibri" w:eastAsia="仿宋_GB2312" w:cs="宋体"/>
                <w:color w:val="auto"/>
                <w:kern w:val="2"/>
                <w:sz w:val="22"/>
                <w:szCs w:val="22"/>
                <w:highlight w:val="none"/>
                <w:u w:val="none"/>
                <w:lang w:val="en-US" w:eastAsia="zh-CN" w:bidi="ar-SA"/>
              </w:rPr>
            </w:pPr>
            <w:r>
              <w:rPr>
                <w:rFonts w:hint="eastAsia" w:ascii="仿宋_GB2312" w:hAnsi="Calibri" w:eastAsia="仿宋_GB2312" w:cs="宋体"/>
                <w:color w:val="auto"/>
                <w:kern w:val="2"/>
                <w:sz w:val="22"/>
                <w:szCs w:val="22"/>
                <w:highlight w:val="yellow"/>
                <w:u w:val="none"/>
                <w:lang w:val="en-US" w:eastAsia="zh-CN" w:bidi="ar-SA"/>
              </w:rPr>
              <w:t>2.</w:t>
            </w:r>
            <w:r>
              <w:rPr>
                <w:rFonts w:hint="eastAsia" w:ascii="仿宋_GB2312" w:hAnsi="Calibri" w:eastAsia="仿宋_GB2312" w:cs="宋体"/>
                <w:color w:val="auto"/>
                <w:kern w:val="2"/>
                <w:sz w:val="22"/>
                <w:szCs w:val="22"/>
                <w:highlight w:val="none"/>
                <w:u w:val="none"/>
                <w:lang w:val="en-US" w:eastAsia="zh-CN" w:bidi="ar-SA"/>
              </w:rPr>
              <w:t>《企业环境信息依法披露管理办法》</w:t>
            </w:r>
          </w:p>
          <w:p w14:paraId="23C3FA01">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hAnsi="Calibri" w:eastAsia="仿宋_GB2312" w:cs="宋体"/>
                <w:color w:val="auto"/>
                <w:kern w:val="2"/>
                <w:sz w:val="22"/>
                <w:szCs w:val="22"/>
                <w:highlight w:val="none"/>
                <w:u w:val="none"/>
                <w:lang w:val="en-US" w:eastAsia="zh-CN" w:bidi="ar-SA"/>
              </w:rPr>
            </w:pPr>
            <w:r>
              <w:rPr>
                <w:rFonts w:hint="eastAsia" w:ascii="仿宋_GB2312" w:hAnsi="Calibri" w:eastAsia="仿宋_GB2312" w:cs="宋体"/>
                <w:color w:val="auto"/>
                <w:kern w:val="2"/>
                <w:sz w:val="22"/>
                <w:szCs w:val="22"/>
                <w:highlight w:val="none"/>
                <w:u w:val="none"/>
                <w:lang w:val="en-US" w:eastAsia="zh-CN" w:bidi="ar-SA"/>
              </w:rPr>
              <w:t>第十一条 第二款  企业应当按照准则编制年度环境信息依法披露报告和临时环境信息依法披露报告，并上传至企业环境信息依法披露系统。</w:t>
            </w:r>
          </w:p>
          <w:p w14:paraId="5197A234">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hAnsi="Calibri" w:eastAsia="仿宋_GB2312" w:cs="宋体"/>
                <w:color w:val="auto"/>
                <w:kern w:val="2"/>
                <w:sz w:val="22"/>
                <w:szCs w:val="22"/>
                <w:highlight w:val="none"/>
                <w:u w:val="none"/>
                <w:lang w:val="en-US" w:eastAsia="zh-CN" w:bidi="ar-SA"/>
              </w:rPr>
            </w:pPr>
            <w:r>
              <w:rPr>
                <w:rFonts w:hint="eastAsia" w:ascii="仿宋_GB2312" w:hAnsi="Calibri" w:eastAsia="仿宋_GB2312" w:cs="宋体"/>
                <w:color w:val="auto"/>
                <w:kern w:val="2"/>
                <w:sz w:val="22"/>
                <w:szCs w:val="22"/>
                <w:highlight w:val="none"/>
                <w:u w:val="none"/>
                <w:lang w:val="en-US" w:eastAsia="zh-CN" w:bidi="ar-SA"/>
              </w:rPr>
              <w:t>第二十九条 第三项  企业违反本办法规定，有下列行为之一的，由设区的市级以上生态环境主管部门责令改正，通报批评，并可以处五万元以下的罚款：</w:t>
            </w:r>
          </w:p>
          <w:p w14:paraId="5E876B60">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eastAsia="仿宋_GB2312" w:cs="宋体"/>
                <w:color w:val="auto"/>
                <w:sz w:val="22"/>
                <w:szCs w:val="22"/>
                <w:highlight w:val="none"/>
                <w:u w:val="none"/>
                <w:lang w:val="en-US" w:eastAsia="zh-CN" w:bidi="ar-SA"/>
              </w:rPr>
            </w:pPr>
            <w:r>
              <w:rPr>
                <w:rFonts w:hint="eastAsia" w:ascii="仿宋_GB2312" w:hAnsi="Calibri" w:eastAsia="仿宋_GB2312" w:cs="宋体"/>
                <w:color w:val="auto"/>
                <w:kern w:val="2"/>
                <w:sz w:val="22"/>
                <w:szCs w:val="22"/>
                <w:highlight w:val="none"/>
                <w:u w:val="none"/>
                <w:lang w:val="en-US" w:eastAsia="zh-CN" w:bidi="ar-SA"/>
              </w:rPr>
              <w:t>（三）未将环境信息上传至企业环境信息依法披露系统的。</w:t>
            </w:r>
          </w:p>
        </w:tc>
        <w:tc>
          <w:tcPr>
            <w:tcW w:w="1881" w:type="dxa"/>
            <w:vAlign w:val="center"/>
          </w:tcPr>
          <w:p w14:paraId="584B76B6">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bl>
    <w:p w14:paraId="369D5D01">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br w:type="page"/>
      </w:r>
    </w:p>
    <w:tbl>
      <w:tblPr>
        <w:tblStyle w:val="14"/>
        <w:tblpPr w:leftFromText="180" w:rightFromText="180" w:vertAnchor="text" w:horzAnchor="page" w:tblpX="1268" w:tblpY="1"/>
        <w:tblOverlap w:val="never"/>
        <w:tblW w:w="1455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96"/>
        <w:gridCol w:w="1515"/>
        <w:gridCol w:w="3934"/>
        <w:gridCol w:w="6033"/>
        <w:gridCol w:w="1872"/>
      </w:tblGrid>
      <w:tr w14:paraId="3C4D1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2" w:hRule="atLeast"/>
        </w:trPr>
        <w:tc>
          <w:tcPr>
            <w:tcW w:w="886" w:type="dxa"/>
            <w:vAlign w:val="center"/>
          </w:tcPr>
          <w:p w14:paraId="48449746">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16</w:t>
            </w:r>
          </w:p>
        </w:tc>
        <w:tc>
          <w:tcPr>
            <w:tcW w:w="1541" w:type="dxa"/>
            <w:vAlign w:val="center"/>
          </w:tcPr>
          <w:p w14:paraId="0A66536D">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对企业披露环境信息超过规定时限的处罚</w:t>
            </w:r>
          </w:p>
        </w:tc>
        <w:tc>
          <w:tcPr>
            <w:tcW w:w="4028" w:type="dxa"/>
            <w:vAlign w:val="center"/>
          </w:tcPr>
          <w:p w14:paraId="262D9386">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bidi="ar-SA"/>
              </w:rPr>
              <w:t>违法行为持续时间不超过3个月，</w:t>
            </w:r>
            <w:r>
              <w:rPr>
                <w:rFonts w:hint="eastAsia" w:ascii="仿宋_GB2312" w:eastAsia="仿宋_GB2312" w:cs="宋体"/>
                <w:color w:val="auto"/>
                <w:sz w:val="22"/>
                <w:szCs w:val="22"/>
                <w:highlight w:val="none"/>
                <w:u w:val="none"/>
                <w:lang w:val="en-US" w:eastAsia="zh-CN" w:bidi="ar-SA"/>
              </w:rPr>
              <w:t>并在</w:t>
            </w:r>
            <w:r>
              <w:rPr>
                <w:rFonts w:hint="eastAsia" w:ascii="仿宋_GB2312" w:eastAsia="仿宋_GB2312" w:cs="宋体"/>
                <w:color w:val="auto"/>
                <w:sz w:val="22"/>
                <w:szCs w:val="22"/>
                <w:highlight w:val="none"/>
                <w:u w:val="none"/>
                <w:lang w:bidi="ar-SA"/>
              </w:rPr>
              <w:t>5个工作日内</w:t>
            </w:r>
            <w:r>
              <w:rPr>
                <w:rFonts w:hint="eastAsia" w:ascii="仿宋_GB2312" w:eastAsia="仿宋_GB2312" w:cs="宋体"/>
                <w:color w:val="auto"/>
                <w:sz w:val="22"/>
                <w:szCs w:val="22"/>
                <w:highlight w:val="none"/>
                <w:u w:val="none"/>
                <w:lang w:eastAsia="zh-CN" w:bidi="ar-SA"/>
              </w:rPr>
              <w:t>改正</w:t>
            </w:r>
            <w:r>
              <w:rPr>
                <w:rFonts w:hint="eastAsia" w:ascii="仿宋_GB2312" w:eastAsia="仿宋_GB2312" w:cs="宋体"/>
                <w:color w:val="auto"/>
                <w:sz w:val="22"/>
                <w:szCs w:val="22"/>
                <w:highlight w:val="none"/>
                <w:u w:val="none"/>
                <w:lang w:bidi="ar-SA"/>
              </w:rPr>
              <w:t>的。（披露信息存在弄虚作假的除外）</w:t>
            </w:r>
          </w:p>
        </w:tc>
        <w:tc>
          <w:tcPr>
            <w:tcW w:w="6172" w:type="dxa"/>
            <w:vAlign w:val="center"/>
          </w:tcPr>
          <w:p w14:paraId="39AF6EDF">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440" w:firstLineChars="200"/>
              <w:rPr>
                <w:rFonts w:hint="eastAsia" w:ascii="仿宋_GB2312" w:hAnsi="Calibri" w:eastAsia="仿宋_GB2312" w:cs="宋体"/>
                <w:color w:val="auto"/>
                <w:kern w:val="2"/>
                <w:sz w:val="22"/>
                <w:szCs w:val="22"/>
                <w:highlight w:val="yellow"/>
                <w:u w:val="none"/>
                <w:lang w:val="en-US" w:eastAsia="zh-CN" w:bidi="ar-SA"/>
              </w:rPr>
            </w:pPr>
            <w:r>
              <w:rPr>
                <w:rFonts w:hint="eastAsia" w:ascii="仿宋_GB2312" w:hAnsi="Calibri" w:cs="宋体"/>
                <w:strike w:val="0"/>
                <w:dstrike w:val="0"/>
                <w:color w:val="auto"/>
                <w:kern w:val="2"/>
                <w:sz w:val="22"/>
                <w:szCs w:val="22"/>
                <w:highlight w:val="yellow"/>
                <w:u w:val="none"/>
                <w:lang w:val="en-US" w:eastAsia="zh-CN" w:bidi="ar-SA"/>
              </w:rPr>
              <w:t>1.</w:t>
            </w: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eastAsia="仿宋_GB2312" w:cs="宋体"/>
                <w:strike w:val="0"/>
                <w:dstrike w:val="0"/>
                <w:color w:val="auto"/>
                <w:kern w:val="2"/>
                <w:sz w:val="22"/>
                <w:szCs w:val="22"/>
                <w:highlight w:val="yellow"/>
                <w:u w:val="none"/>
                <w:lang w:val="en-US" w:eastAsia="zh-CN" w:bidi="ar-SA"/>
              </w:rPr>
              <w:t xml:space="preserve">    第一百四十条第一款  实行排污许可重点管理和其他法定的应当披露生态环境信息的企业事业单位和其他生产经营者，应当依法及时、真实、准确、完整披露污染物排放信息、温室气体排放信息等生态环境信息。</w:t>
            </w:r>
          </w:p>
          <w:p w14:paraId="4A0C8138">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hAnsi="Calibri" w:eastAsia="仿宋_GB2312" w:cs="宋体"/>
                <w:color w:val="auto"/>
                <w:kern w:val="2"/>
                <w:sz w:val="22"/>
                <w:szCs w:val="22"/>
                <w:highlight w:val="yellow"/>
                <w:u w:val="none"/>
                <w:lang w:val="en-US" w:eastAsia="zh-CN" w:bidi="ar-SA"/>
              </w:rPr>
              <w:t>2.</w:t>
            </w:r>
            <w:r>
              <w:rPr>
                <w:rFonts w:hint="eastAsia" w:ascii="仿宋_GB2312" w:eastAsia="仿宋_GB2312" w:cs="宋体"/>
                <w:color w:val="auto"/>
                <w:sz w:val="22"/>
                <w:szCs w:val="22"/>
                <w:highlight w:val="none"/>
                <w:u w:val="none"/>
                <w:lang w:val="en-US" w:eastAsia="zh-CN" w:bidi="ar-SA"/>
              </w:rPr>
              <w:t>《企业环境信息依法披露管理办法》</w:t>
            </w:r>
          </w:p>
          <w:p w14:paraId="4FD39235">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第十七条  企业应当自收到相关法律文书之日起五个工作日内，以临时环境信息依法披露报告的形式，披露以下环境信息：</w:t>
            </w:r>
          </w:p>
          <w:p w14:paraId="6B8AB9B0">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（一）生态环境行政许可准予、变更、延续、撤销等信息；</w:t>
            </w:r>
          </w:p>
          <w:p w14:paraId="188BBB1C">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（二）因生态环境违法行为受到行政处罚的信息；</w:t>
            </w:r>
          </w:p>
          <w:p w14:paraId="3879C9BB">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（三）因生态环境违法行为，其法定代表人、主要负责人、直接负责的主管人员和其他直接责任人员被依法处以行政拘留的信息；</w:t>
            </w:r>
          </w:p>
          <w:p w14:paraId="4F500E29">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（四）因生态环境违法行为，企业或者其法定代表人、主要负责人、直接负责的主管人员和其他直接责任人员被追究刑事责任的信息；</w:t>
            </w:r>
          </w:p>
          <w:p w14:paraId="4DEE54C7">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（五）生态环境损害赔偿及协议信息。</w:t>
            </w:r>
          </w:p>
          <w:p w14:paraId="1B6B9F19">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企业发生突发环境事件的，应当依照有关法律法规规定披露相关信息。</w:t>
            </w:r>
          </w:p>
          <w:p w14:paraId="73ED6FBC">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第十九条  企业应当于每年3月15日前披露上一年度1月1日至12月31日的环境信息。</w:t>
            </w:r>
          </w:p>
          <w:p w14:paraId="0F94F745">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第二十条  企业在企业名单公布前存在本办法第十七条规定的环境信息的，应当于企业名单公布后十个工作日内以临时环境信息依法披露报告的形式披露本年度企业名单公布前的相关信息。</w:t>
            </w:r>
          </w:p>
          <w:p w14:paraId="187615C2">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第二十九条 第二项  企业违反本办法规定，有下列行为之一的，由设区的市级以上生态环境主管部门责令改正，通报批评，并可以处五万元以下的罚款：（二）披露环境信息超过规定时限的。</w:t>
            </w:r>
          </w:p>
        </w:tc>
        <w:tc>
          <w:tcPr>
            <w:tcW w:w="1923" w:type="dxa"/>
            <w:vAlign w:val="center"/>
          </w:tcPr>
          <w:p w14:paraId="5BFE1604">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50A9A9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11" w:hRule="atLeast"/>
        </w:trPr>
        <w:tc>
          <w:tcPr>
            <w:tcW w:w="886" w:type="dxa"/>
            <w:vAlign w:val="center"/>
          </w:tcPr>
          <w:p w14:paraId="4A549FEE">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17</w:t>
            </w:r>
          </w:p>
        </w:tc>
        <w:tc>
          <w:tcPr>
            <w:tcW w:w="1541" w:type="dxa"/>
            <w:vAlign w:val="center"/>
          </w:tcPr>
          <w:p w14:paraId="1B334895">
            <w:pPr>
              <w:pStyle w:val="7"/>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w:t>
            </w:r>
            <w:r>
              <w:rPr>
                <w:rFonts w:hint="eastAsia" w:ascii="仿宋_GB2312" w:eastAsia="仿宋_GB2312" w:cs="宋体"/>
                <w:color w:val="auto"/>
                <w:sz w:val="22"/>
                <w:szCs w:val="22"/>
                <w:highlight w:val="yellow"/>
                <w:u w:val="none"/>
                <w:lang w:val="en-US" w:eastAsia="zh-CN" w:bidi="ar-SA"/>
              </w:rPr>
              <w:t>自动监测设备</w:t>
            </w:r>
            <w:r>
              <w:rPr>
                <w:rFonts w:hint="eastAsia" w:ascii="仿宋_GB2312" w:eastAsia="仿宋_GB2312" w:cs="宋体"/>
                <w:color w:val="auto"/>
                <w:sz w:val="22"/>
                <w:szCs w:val="22"/>
                <w:highlight w:val="none"/>
                <w:u w:val="none"/>
                <w:lang w:val="en-US" w:eastAsia="zh-CN" w:bidi="ar-SA"/>
              </w:rPr>
              <w:t>未与生态环境部门联网的处罚</w:t>
            </w:r>
          </w:p>
        </w:tc>
        <w:tc>
          <w:tcPr>
            <w:tcW w:w="4028" w:type="dxa"/>
            <w:vAlign w:val="center"/>
          </w:tcPr>
          <w:p w14:paraId="592A255A">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自动监测设备未与生态环境部门联网，但已安装、使用污染物排放自动监测设备且污染防治设施正常运行，已按要求自行开展手工监测，污染物达标排放，违法行为持续时间不超过3个月，未造成明显环境污染后果，并在5个工作日内与生态环境部门联网的。</w:t>
            </w:r>
          </w:p>
        </w:tc>
        <w:tc>
          <w:tcPr>
            <w:tcW w:w="6172" w:type="dxa"/>
            <w:vAlign w:val="center"/>
          </w:tcPr>
          <w:p w14:paraId="2A45C166">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1.《中华人民共和国生态环境法典》（自2026年8月15日起施行）</w:t>
            </w:r>
          </w:p>
          <w:p w14:paraId="0E48E2EF">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第一百八十四条第一款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62C56DCA">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highlight w:val="yellow"/>
                <w:u w:val="none"/>
                <w:lang w:val="en-US" w:eastAsia="zh-CN" w:bidi="ar-SA"/>
              </w:rPr>
              <w:t>.</w:t>
            </w:r>
            <w:r>
              <w:rPr>
                <w:rFonts w:hint="eastAsia" w:ascii="仿宋_GB2312" w:eastAsia="仿宋_GB2312" w:cs="宋体"/>
                <w:color w:val="auto"/>
                <w:sz w:val="22"/>
                <w:szCs w:val="22"/>
                <w:highlight w:val="none"/>
                <w:u w:val="none"/>
                <w:lang w:val="en-US" w:eastAsia="zh-CN" w:bidi="ar-SA"/>
              </w:rPr>
              <w:t>《排污许可管理条例》（国务院令第736号）</w:t>
            </w:r>
          </w:p>
          <w:p w14:paraId="68C88634">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第二十条 第一款  实行排污许可重点管理的排污单位，应当依法安装、使用、维护污染物排放自动监测设备，并与生态环境主管部门的监控设备联网。</w:t>
            </w:r>
          </w:p>
          <w:p w14:paraId="0D7CDC8E">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第三十六条 第四项  违反本条例规定，排污单位有下列行为之一的，由生态环境主管部门责令改正，处 2 万元以上 20 万元以下的罚款；拒不改正的，责令停产整治：</w:t>
            </w:r>
          </w:p>
          <w:p w14:paraId="7E63704A">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（四）未按照排污许可证规定安装、使用污染物排放自动监测设备并与生态环境主管部门的监控设备联网。</w:t>
            </w:r>
          </w:p>
          <w:p w14:paraId="2C562DF6">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2.《中华人民共和国水污染防治法》（2017年修订）</w:t>
            </w:r>
          </w:p>
          <w:p w14:paraId="345A5842">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第二十三条 第一款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14:paraId="0B5C9965">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第八十二条 第二项  违反本法规定，有下列行为之一的，由县级以上人民政府环境保护主管部门责令限期改正，处二万元以上二十万元以下的罚款；逾期不改正的，责令停产整治：</w:t>
            </w:r>
          </w:p>
          <w:p w14:paraId="1207103C">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（二）未按照规定安装水污染物排放自动监测设备，未按照规定与环境保护主管部门的监控设备联网。</w:t>
            </w:r>
          </w:p>
          <w:p w14:paraId="7863CA01">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3.《中华人民共和国大气污染防治法》（2018年修订）</w:t>
            </w:r>
          </w:p>
          <w:p w14:paraId="2A365E4F">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第二十四条 第一款　企业事业单位和其他生产经营者应当按照国家有关规定和监测规范，对其排放的工业废气和本法第七十八条规定名录中所列有毒有害大气污染物进行监测，并保存原始监测记录。其中，重点排污单位应当安装、使用大气污染物排放自动监测设备，与生态环境主管部门的监控设备联网，保证监测设备正常运行并依法公开排放信息。监测的具体办法和重点排污单位的条件由国务院生态环境主管部门规定。</w:t>
            </w:r>
          </w:p>
          <w:p w14:paraId="3BAD2A92">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第一百条 第三项  违反本法规定，有下列行为之一的，由县级以上人民政府生态环境主管部门责令改正，处二万元以上二十万元以下的罚款；拒不改正的，责令停产整治：</w:t>
            </w:r>
          </w:p>
          <w:p w14:paraId="691EC538">
            <w:pPr>
              <w:keepNext w:val="0"/>
              <w:keepLines w:val="0"/>
              <w:widowControl/>
              <w:suppressLineNumbers w:val="0"/>
              <w:ind w:firstLine="440" w:firstLineChars="200"/>
              <w:jc w:val="left"/>
              <w:rPr>
                <w:rFonts w:hint="eastAsia" w:ascii="仿宋_GB2312" w:eastAsia="仿宋_GB2312" w:cs="宋体"/>
                <w:color w:val="auto"/>
                <w:sz w:val="22"/>
                <w:szCs w:val="22"/>
                <w:highlight w:val="none"/>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（三）未按照规定安装、使用大气污染物排放自动监测设备或者未按照规定与生态环境主管部门的监控设备联网。</w:t>
            </w:r>
            <w:r>
              <w:rPr>
                <w:rFonts w:ascii="Times New Roman" w:hAnsi="Times New Roman" w:eastAsia="楷体" w:cs="Times New Roman"/>
                <w:strike w:val="0"/>
                <w:dstrike w:val="0"/>
                <w:color w:val="auto"/>
                <w:sz w:val="22"/>
                <w:szCs w:val="22"/>
                <w:highlight w:val="none"/>
              </w:rPr>
              <w:t>】</w:t>
            </w:r>
          </w:p>
        </w:tc>
        <w:tc>
          <w:tcPr>
            <w:tcW w:w="1923" w:type="dxa"/>
            <w:vAlign w:val="center"/>
          </w:tcPr>
          <w:p w14:paraId="0C16CDDD">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r w14:paraId="0042A2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40" w:hRule="atLeast"/>
        </w:trPr>
        <w:tc>
          <w:tcPr>
            <w:tcW w:w="886" w:type="dxa"/>
            <w:vAlign w:val="center"/>
          </w:tcPr>
          <w:p w14:paraId="14232C07">
            <w:pPr>
              <w:keepNext w:val="0"/>
              <w:keepLines w:val="0"/>
              <w:widowControl/>
              <w:suppressLineNumbers w:val="0"/>
              <w:ind w:firstLine="220" w:firstLineChars="100"/>
              <w:jc w:val="left"/>
              <w:rPr>
                <w:rFonts w:ascii="仿宋_GB2312" w:hAnsi="Calibri" w:eastAsia="仿宋_GB2312" w:cs="宋体"/>
                <w:strike/>
                <w:dstrike w:val="0"/>
                <w:color w:val="auto"/>
                <w:kern w:val="2"/>
                <w:sz w:val="22"/>
                <w:szCs w:val="22"/>
                <w:highlight w:val="yellow"/>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20</w:t>
            </w:r>
            <w:r>
              <w:rPr>
                <w:rFonts w:ascii="仿宋_GB2312" w:hAnsi="Calibri" w:eastAsia="仿宋_GB2312" w:cs="宋体"/>
                <w:strike w:val="0"/>
                <w:dstrike w:val="0"/>
                <w:color w:val="auto"/>
                <w:kern w:val="2"/>
                <w:sz w:val="22"/>
                <w:szCs w:val="22"/>
                <w:highlight w:val="none"/>
                <w:u w:val="none"/>
                <w:lang w:val="en-US" w:eastAsia="zh-CN" w:bidi="ar-SA"/>
              </w:rPr>
              <w:t>】</w:t>
            </w:r>
          </w:p>
        </w:tc>
        <w:tc>
          <w:tcPr>
            <w:tcW w:w="1541" w:type="dxa"/>
            <w:vAlign w:val="center"/>
          </w:tcPr>
          <w:p w14:paraId="7AF813DE">
            <w:pPr>
              <w:keepNext w:val="0"/>
              <w:keepLines w:val="0"/>
              <w:widowControl/>
              <w:suppressLineNumbers w:val="0"/>
              <w:jc w:val="left"/>
              <w:rPr>
                <w:rFonts w:hint="eastAsia" w:ascii="仿宋_GB2312" w:hAnsi="Calibri" w:eastAsia="仿宋_GB2312" w:cs="宋体"/>
                <w:strike w:val="0"/>
                <w:dstrike w:val="0"/>
                <w:color w:val="auto"/>
                <w:kern w:val="2"/>
                <w:sz w:val="22"/>
                <w:szCs w:val="22"/>
                <w:highlight w:val="none"/>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对不规范设置监测点位和采样监测平台或排放口标识的处罚</w:t>
            </w:r>
            <w:r>
              <w:rPr>
                <w:rFonts w:ascii="Times New Roman" w:hAnsi="Times New Roman" w:eastAsia="楷体" w:cs="Times New Roman"/>
                <w:strike w:val="0"/>
                <w:dstrike w:val="0"/>
                <w:color w:val="auto"/>
                <w:sz w:val="22"/>
                <w:szCs w:val="22"/>
                <w:highlight w:val="none"/>
              </w:rPr>
              <w:t>】</w:t>
            </w:r>
          </w:p>
        </w:tc>
        <w:tc>
          <w:tcPr>
            <w:tcW w:w="4028" w:type="dxa"/>
            <w:vAlign w:val="center"/>
          </w:tcPr>
          <w:p w14:paraId="438E20A8">
            <w:pPr>
              <w:keepNext w:val="0"/>
              <w:keepLines w:val="0"/>
              <w:widowControl/>
              <w:suppressLineNumbers w:val="0"/>
              <w:jc w:val="left"/>
              <w:rPr>
                <w:rFonts w:hint="eastAsia" w:ascii="仿宋_GB2312" w:hAnsi="Calibri" w:eastAsia="仿宋_GB2312" w:cs="宋体"/>
                <w:strike/>
                <w:dstrike w:val="0"/>
                <w:color w:val="auto"/>
                <w:kern w:val="2"/>
                <w:sz w:val="22"/>
                <w:szCs w:val="22"/>
                <w:highlight w:val="yellow"/>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未按照规定和监测规范设置监测点位和采样监测平台，或者排放口标识设置不规范的现象，污染防治设施正常运行且污染物达标排放，持续时间不超过3个月，未造成明显环境污染后果，并在5个工作日内改正的。</w:t>
            </w:r>
            <w:r>
              <w:rPr>
                <w:rFonts w:ascii="Times New Roman" w:hAnsi="Times New Roman" w:eastAsia="楷体" w:cs="Times New Roman"/>
                <w:strike w:val="0"/>
                <w:dstrike w:val="0"/>
                <w:color w:val="auto"/>
                <w:sz w:val="22"/>
                <w:szCs w:val="22"/>
                <w:highlight w:val="none"/>
              </w:rPr>
              <w:t>】</w:t>
            </w:r>
          </w:p>
        </w:tc>
        <w:tc>
          <w:tcPr>
            <w:tcW w:w="6172" w:type="dxa"/>
            <w:vAlign w:val="center"/>
          </w:tcPr>
          <w:p w14:paraId="77137E6A">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《中华人民共和国大气污染防治法》（2018年修订）</w:t>
            </w:r>
          </w:p>
          <w:p w14:paraId="050E1A01">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第二十条 　企业事业单位和其他生产经营者向大气排放污染物的，应当依照法律法规和国务院生态环境主管部门的规定设置大气污染物排放口。</w:t>
            </w:r>
          </w:p>
          <w:p w14:paraId="6E4114FE">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第一百条 第五项  违反本法规定，有下列行为之一的，由县级以上人民政府生态环境主管部门责令改正，处二万元以上二十万元以下的罚款；拒不改正的，责令停产整治：</w:t>
            </w:r>
          </w:p>
          <w:p w14:paraId="59B07EBD">
            <w:pPr>
              <w:keepNext w:val="0"/>
              <w:keepLines w:val="0"/>
              <w:widowControl/>
              <w:suppressLineNumbers w:val="0"/>
              <w:ind w:firstLine="440" w:firstLineChars="200"/>
              <w:jc w:val="left"/>
              <w:rPr>
                <w:rFonts w:hint="eastAsia" w:ascii="仿宋_GB2312" w:hAnsi="Calibri" w:eastAsia="仿宋_GB2312" w:cs="宋体"/>
                <w:strike/>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（五）未按照规定设置大气污染物排放口的。</w:t>
            </w:r>
            <w:r>
              <w:rPr>
                <w:rFonts w:ascii="Times New Roman" w:hAnsi="Times New Roman" w:eastAsia="楷体" w:cs="Times New Roman"/>
                <w:strike w:val="0"/>
                <w:dstrike w:val="0"/>
                <w:color w:val="auto"/>
                <w:sz w:val="22"/>
                <w:szCs w:val="22"/>
                <w:highlight w:val="none"/>
              </w:rPr>
              <w:t>】</w:t>
            </w:r>
          </w:p>
        </w:tc>
        <w:tc>
          <w:tcPr>
            <w:tcW w:w="1923" w:type="dxa"/>
            <w:vAlign w:val="center"/>
          </w:tcPr>
          <w:p w14:paraId="25AB15EC">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highlight w:val="none"/>
                <w:u w:val="none"/>
                <w:lang w:val="en-US" w:eastAsia="zh-CN" w:bidi="ar-SA"/>
              </w:rPr>
            </w:pPr>
          </w:p>
        </w:tc>
      </w:tr>
    </w:tbl>
    <w:p w14:paraId="3EFD8E8F">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黑体" w:eastAsia="黑体" w:cs="黑体"/>
          <w:color w:val="auto"/>
          <w:sz w:val="24"/>
          <w:szCs w:val="24"/>
          <w:u w:val="none"/>
          <w:lang w:eastAsia="zh-CN" w:bidi="ar-SA"/>
        </w:rPr>
      </w:pPr>
      <w:r>
        <w:rPr>
          <w:rFonts w:hint="eastAsia" w:ascii="黑体" w:eastAsia="黑体" w:cs="黑体"/>
          <w:color w:val="auto"/>
          <w:sz w:val="24"/>
          <w:szCs w:val="24"/>
          <w:u w:val="none"/>
          <w:lang w:eastAsia="zh-CN" w:bidi="ar-SA"/>
        </w:rPr>
        <w:br w:type="page"/>
      </w:r>
    </w:p>
    <w:tbl>
      <w:tblPr>
        <w:tblStyle w:val="14"/>
        <w:tblpPr w:leftFromText="180" w:rightFromText="180" w:vertAnchor="text" w:horzAnchor="page" w:tblpXSpec="center" w:tblpY="1"/>
        <w:tblOverlap w:val="never"/>
        <w:tblW w:w="1444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33"/>
        <w:gridCol w:w="1656"/>
        <w:gridCol w:w="3927"/>
        <w:gridCol w:w="6115"/>
        <w:gridCol w:w="2013"/>
      </w:tblGrid>
      <w:tr w14:paraId="103F1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0" w:hRule="atLeast"/>
        </w:trPr>
        <w:tc>
          <w:tcPr>
            <w:tcW w:w="14444" w:type="dxa"/>
            <w:gridSpan w:val="5"/>
            <w:vAlign w:val="center"/>
          </w:tcPr>
          <w:p w14:paraId="749EB10F">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eastAsia="仿宋_GB2312" w:cs="宋体"/>
                <w:color w:val="auto"/>
                <w:sz w:val="22"/>
                <w:szCs w:val="22"/>
                <w:u w:val="none"/>
                <w:lang w:val="en-US" w:eastAsia="zh-CN" w:bidi="ar-SA"/>
              </w:rPr>
            </w:pPr>
            <w:r>
              <w:rPr>
                <w:rFonts w:hint="eastAsia" w:ascii="黑体" w:eastAsia="黑体" w:cs="黑体"/>
                <w:color w:val="auto"/>
                <w:sz w:val="24"/>
                <w:szCs w:val="24"/>
                <w:u w:val="none"/>
                <w:lang w:eastAsia="zh-CN" w:bidi="ar-SA"/>
              </w:rPr>
              <w:t>三</w:t>
            </w:r>
            <w:r>
              <w:rPr>
                <w:rFonts w:hint="eastAsia" w:ascii="黑体" w:eastAsia="黑体" w:cs="黑体"/>
                <w:color w:val="auto"/>
                <w:sz w:val="24"/>
                <w:szCs w:val="24"/>
                <w:u w:val="none"/>
                <w:lang w:bidi="ar-SA"/>
              </w:rPr>
              <w:t>、下列违法行为</w:t>
            </w:r>
            <w:r>
              <w:rPr>
                <w:rFonts w:hint="eastAsia" w:ascii="黑体" w:eastAsia="黑体" w:cs="黑体"/>
                <w:color w:val="auto"/>
                <w:sz w:val="24"/>
                <w:szCs w:val="24"/>
                <w:u w:val="none"/>
                <w:lang w:eastAsia="zh-CN" w:bidi="ar-SA"/>
              </w:rPr>
              <w:t>当事人有证据证明没有主观过错，</w:t>
            </w:r>
            <w:r>
              <w:rPr>
                <w:rFonts w:hint="eastAsia" w:ascii="黑体" w:eastAsia="黑体" w:cs="黑体"/>
                <w:color w:val="auto"/>
                <w:sz w:val="24"/>
                <w:szCs w:val="24"/>
                <w:u w:val="none"/>
                <w:lang w:bidi="ar-SA"/>
              </w:rPr>
              <w:t>不予行政处罚</w:t>
            </w:r>
          </w:p>
        </w:tc>
      </w:tr>
      <w:tr w14:paraId="6ECDB2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733" w:type="dxa"/>
            <w:vAlign w:val="center"/>
          </w:tcPr>
          <w:p w14:paraId="51D25A65">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仿宋_GB2312" w:eastAsia="仿宋_GB2312" w:cs="宋体"/>
                <w:color w:val="auto"/>
                <w:sz w:val="22"/>
                <w:szCs w:val="22"/>
                <w:u w:val="none"/>
                <w:lang w:val="en-US" w:eastAsia="zh-CN" w:bidi="ar-SA"/>
              </w:rPr>
            </w:pPr>
            <w:r>
              <w:rPr>
                <w:rFonts w:hint="eastAsia" w:ascii="黑体" w:hAnsi="Times New Roman" w:eastAsia="黑体"/>
                <w:color w:val="auto"/>
                <w:kern w:val="0"/>
                <w:sz w:val="24"/>
                <w:szCs w:val="24"/>
                <w:u w:val="none"/>
              </w:rPr>
              <w:t>序号</w:t>
            </w:r>
          </w:p>
        </w:tc>
        <w:tc>
          <w:tcPr>
            <w:tcW w:w="1656" w:type="dxa"/>
            <w:vAlign w:val="center"/>
          </w:tcPr>
          <w:p w14:paraId="67FFD4B1">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hint="eastAsia" w:ascii="黑体" w:hAnsi="Times New Roman" w:eastAsia="黑体"/>
                <w:color w:val="auto"/>
                <w:kern w:val="0"/>
                <w:sz w:val="24"/>
                <w:szCs w:val="24"/>
                <w:u w:val="none"/>
                <w:lang w:eastAsia="zh-CN"/>
              </w:rPr>
              <w:t>行政处罚事项</w:t>
            </w:r>
          </w:p>
        </w:tc>
        <w:tc>
          <w:tcPr>
            <w:tcW w:w="3927" w:type="dxa"/>
            <w:vAlign w:val="center"/>
          </w:tcPr>
          <w:p w14:paraId="35F36F9B">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hint="eastAsia" w:ascii="黑体" w:hAnsi="Times New Roman" w:eastAsia="黑体"/>
                <w:color w:val="auto"/>
                <w:kern w:val="0"/>
                <w:sz w:val="24"/>
                <w:szCs w:val="24"/>
                <w:u w:val="none"/>
                <w:lang w:eastAsia="zh-CN"/>
              </w:rPr>
              <w:t>不予处罚适用条件</w:t>
            </w:r>
          </w:p>
        </w:tc>
        <w:tc>
          <w:tcPr>
            <w:tcW w:w="6115" w:type="dxa"/>
            <w:vAlign w:val="center"/>
          </w:tcPr>
          <w:p w14:paraId="3820A9B7">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hint="eastAsia" w:ascii="黑体" w:hAnsi="Times New Roman" w:eastAsia="黑体"/>
                <w:color w:val="auto"/>
                <w:kern w:val="0"/>
                <w:sz w:val="24"/>
                <w:szCs w:val="24"/>
                <w:u w:val="none"/>
              </w:rPr>
              <w:t>法定依据</w:t>
            </w:r>
          </w:p>
        </w:tc>
        <w:tc>
          <w:tcPr>
            <w:tcW w:w="2013" w:type="dxa"/>
            <w:vAlign w:val="center"/>
          </w:tcPr>
          <w:p w14:paraId="49227975">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hint="eastAsia" w:ascii="黑体" w:hAnsi="Times New Roman" w:eastAsia="黑体"/>
                <w:color w:val="auto"/>
                <w:kern w:val="0"/>
                <w:sz w:val="24"/>
                <w:szCs w:val="24"/>
                <w:u w:val="none"/>
                <w:lang w:val="en-US" w:eastAsia="zh-CN"/>
              </w:rPr>
              <w:t>备注</w:t>
            </w:r>
          </w:p>
        </w:tc>
      </w:tr>
      <w:tr w14:paraId="3B2904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21" w:hRule="atLeast"/>
        </w:trPr>
        <w:tc>
          <w:tcPr>
            <w:tcW w:w="733" w:type="dxa"/>
            <w:vAlign w:val="center"/>
          </w:tcPr>
          <w:p w14:paraId="61FE33B8">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w:t>
            </w:r>
          </w:p>
        </w:tc>
        <w:tc>
          <w:tcPr>
            <w:tcW w:w="1656" w:type="dxa"/>
            <w:vAlign w:val="center"/>
          </w:tcPr>
          <w:p w14:paraId="0EE848D0">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对污染防治设施不正常运行（不含其他逃避监管方式排放污染物的行为）的处罚</w:t>
            </w:r>
            <w:r>
              <w:rPr>
                <w:rFonts w:ascii="Times New Roman" w:hAnsi="Times New Roman" w:eastAsia="楷体" w:cs="Times New Roman"/>
                <w:strike w:val="0"/>
                <w:dstrike w:val="0"/>
                <w:color w:val="auto"/>
                <w:sz w:val="22"/>
                <w:szCs w:val="22"/>
                <w:highlight w:val="none"/>
              </w:rPr>
              <w:t>】</w:t>
            </w:r>
            <w:r>
              <w:rPr>
                <w:rFonts w:hint="eastAsia" w:ascii="仿宋_GB2312" w:eastAsia="仿宋_GB2312" w:cs="宋体"/>
                <w:color w:val="auto"/>
                <w:sz w:val="22"/>
                <w:szCs w:val="22"/>
                <w:highlight w:val="yellow"/>
                <w:u w:val="none"/>
                <w:lang w:val="en-US" w:eastAsia="zh-CN" w:bidi="ar-SA"/>
              </w:rPr>
              <w:t>对</w:t>
            </w:r>
            <w:r>
              <w:rPr>
                <w:rFonts w:ascii="仿宋_GB2312" w:eastAsia="仿宋_GB2312" w:cs="宋体"/>
                <w:color w:val="auto"/>
                <w:sz w:val="22"/>
                <w:szCs w:val="22"/>
                <w:highlight w:val="yellow"/>
                <w:u w:val="none"/>
                <w:lang w:val="en-US" w:eastAsia="zh-CN" w:bidi="ar-SA"/>
              </w:rPr>
              <w:t>未按照排污许可证的规定运行和维护污染防治设施的；致使污染防治设施不能正常发挥作用，但不属于以逃避监管方式排放污染物</w:t>
            </w:r>
            <w:r>
              <w:rPr>
                <w:rFonts w:hint="eastAsia" w:ascii="仿宋_GB2312" w:eastAsia="仿宋_GB2312" w:cs="宋体"/>
                <w:color w:val="auto"/>
                <w:sz w:val="22"/>
                <w:szCs w:val="22"/>
                <w:highlight w:val="yellow"/>
                <w:u w:val="none"/>
                <w:lang w:val="en-US" w:eastAsia="zh-CN" w:bidi="ar-SA"/>
              </w:rPr>
              <w:t>的处罚</w:t>
            </w:r>
          </w:p>
        </w:tc>
        <w:tc>
          <w:tcPr>
            <w:tcW w:w="3927" w:type="dxa"/>
            <w:vAlign w:val="center"/>
          </w:tcPr>
          <w:p w14:paraId="64C33A19">
            <w:pPr>
              <w:keepNext w:val="0"/>
              <w:keepLines w:val="0"/>
              <w:pageBreakBefore w:val="0"/>
              <w:widowControl w:val="0"/>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当事人有证据证明因设备突发故障或不可抗力等非主观过错因素，且没有其他应急办法可以避免，导致污染防治设施不正常运行，在24小时内及时报告并采取停产措施减少污染物排放，或者因涉及民生、公共利益或生产安全等需要无法实施停产的，在24小时内及时报告并采取限产措施减少污染物排放的。</w:t>
            </w:r>
          </w:p>
        </w:tc>
        <w:tc>
          <w:tcPr>
            <w:tcW w:w="6115" w:type="dxa"/>
            <w:vAlign w:val="center"/>
          </w:tcPr>
          <w:p w14:paraId="3D8F71A4">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《中华人民共和国生态环境法典》（自2026年8月15日起施行）</w:t>
            </w:r>
          </w:p>
          <w:p w14:paraId="0F88A01D">
            <w:pPr>
              <w:keepNext w:val="0"/>
              <w:keepLines w:val="0"/>
              <w:widowControl/>
              <w:suppressLineNumbers w:val="0"/>
              <w:ind w:firstLine="440" w:firstLineChars="200"/>
              <w:jc w:val="left"/>
              <w:rPr>
                <w:rFonts w:ascii="仿宋_GB2312" w:eastAsia="仿宋_GB2312" w:cs="宋体"/>
                <w:color w:val="auto"/>
                <w:sz w:val="22"/>
                <w:szCs w:val="22"/>
                <w:highlight w:val="yellow"/>
                <w:u w:val="none"/>
                <w:lang w:val="en-US" w:eastAsia="zh-CN" w:bidi="ar-SA"/>
              </w:rPr>
            </w:pPr>
            <w:r>
              <w:rPr>
                <w:rFonts w:ascii="仿宋_GB2312" w:eastAsia="仿宋_GB2312" w:cs="宋体"/>
                <w:color w:val="auto"/>
                <w:sz w:val="22"/>
                <w:szCs w:val="22"/>
                <w:highlight w:val="yellow"/>
                <w:u w:val="none"/>
                <w:lang w:val="en-US" w:eastAsia="zh-CN" w:bidi="ar-SA"/>
              </w:rPr>
              <w:t>第一百七十九条</w:t>
            </w:r>
            <w:r>
              <w:rPr>
                <w:rFonts w:hint="eastAsia" w:ascii="仿宋_GB2312" w:eastAsia="仿宋_GB2312" w:cs="宋体"/>
                <w:color w:val="auto"/>
                <w:sz w:val="22"/>
                <w:szCs w:val="22"/>
                <w:highlight w:val="yellow"/>
                <w:u w:val="none"/>
                <w:lang w:val="en-US" w:eastAsia="zh-CN" w:bidi="ar-SA"/>
              </w:rPr>
              <w:t>第二款</w:t>
            </w:r>
            <w:r>
              <w:rPr>
                <w:rFonts w:ascii="仿宋_GB2312" w:eastAsia="仿宋_GB2312" w:cs="宋体"/>
                <w:color w:val="auto"/>
                <w:sz w:val="22"/>
                <w:szCs w:val="22"/>
                <w:highlight w:val="yellow"/>
                <w:u w:val="none"/>
                <w:lang w:val="en-US" w:eastAsia="zh-CN" w:bidi="ar-SA"/>
              </w:rPr>
              <w:t>　实行排污许可管理的企业事业单位和其他生产经营者应当遵守排污许可证的要求，按照规定运行和维护污染防治设施，建立生态环境管理制度，严格控制污染物排放。</w:t>
            </w:r>
            <w:r>
              <w:rPr>
                <w:rFonts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hint="eastAsia" w:ascii="仿宋_GB2312" w:eastAsia="仿宋_GB2312" w:cs="宋体"/>
                <w:color w:val="auto"/>
                <w:sz w:val="22"/>
                <w:szCs w:val="22"/>
                <w:highlight w:val="yellow"/>
                <w:u w:val="none"/>
                <w:lang w:val="en-US" w:eastAsia="zh-CN" w:bidi="ar-SA"/>
              </w:rPr>
              <w:t xml:space="preserve"> </w:t>
            </w:r>
            <w:r>
              <w:rPr>
                <w:rFonts w:hint="eastAsia" w:ascii="仿宋_GB2312" w:cs="宋体"/>
                <w:color w:val="auto"/>
                <w:sz w:val="22"/>
                <w:szCs w:val="22"/>
                <w:highlight w:val="yellow"/>
                <w:u w:val="none"/>
                <w:lang w:val="en-US" w:eastAsia="zh-CN" w:bidi="ar-SA"/>
              </w:rPr>
              <w:t xml:space="preserve"> </w:t>
            </w:r>
            <w:r>
              <w:rPr>
                <w:rFonts w:ascii="仿宋_GB2312" w:eastAsia="仿宋_GB2312" w:cs="宋体"/>
                <w:color w:val="auto"/>
                <w:sz w:val="22"/>
                <w:szCs w:val="22"/>
                <w:highlight w:val="yellow"/>
                <w:u w:val="none"/>
                <w:lang w:val="en-US" w:eastAsia="zh-CN" w:bidi="ar-SA"/>
              </w:rPr>
              <w:t>第一千一百零四条</w:t>
            </w:r>
            <w:r>
              <w:rPr>
                <w:rFonts w:hint="eastAsia" w:ascii="仿宋_GB2312" w:cs="宋体"/>
                <w:color w:val="auto"/>
                <w:sz w:val="22"/>
                <w:szCs w:val="22"/>
                <w:highlight w:val="yellow"/>
                <w:u w:val="none"/>
                <w:lang w:val="en-US" w:eastAsia="zh-CN" w:bidi="ar-SA"/>
              </w:rPr>
              <w:t>第一款</w:t>
            </w:r>
            <w:r>
              <w:rPr>
                <w:rFonts w:ascii="仿宋_GB2312" w:eastAsia="仿宋_GB2312" w:cs="宋体"/>
                <w:color w:val="auto"/>
                <w:sz w:val="22"/>
                <w:szCs w:val="22"/>
                <w:highlight w:val="yellow"/>
                <w:u w:val="none"/>
                <w:lang w:val="en-US" w:eastAsia="zh-CN" w:bidi="ar-SA"/>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2B195313">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1.《中华人民共和国大气污染防治法》（2018年修订）</w:t>
            </w:r>
          </w:p>
          <w:p w14:paraId="5B53B18B">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第二十条 第二款  禁止通过偷排、篡改或者伪造监测数据、以逃避现场检查为目的的临时停产、非紧急情况下开启应急排放通道、不正常运行大气污染防治设施等逃避监管的方式排放大气污染物。</w:t>
            </w:r>
          </w:p>
          <w:p w14:paraId="02C81C51">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第九十九条 第三项　违反本法规定，有下列行为之一的，由县级以上人民政府生态环境主管部门责令改正或者限制生产、停产整治，并处十万元以上一百万元以下的罚款；情节严重的，报经有批准权的人民政府批准，责令停业、关闭：</w:t>
            </w:r>
          </w:p>
          <w:p w14:paraId="3BF76AE3">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（三）通过逃避监管的方式排放大气污染物的。</w:t>
            </w:r>
          </w:p>
          <w:p w14:paraId="0FAC0CBE">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2.《福建省大气污染防治条例》（2019年1月1日起施行）</w:t>
            </w:r>
          </w:p>
          <w:p w14:paraId="5D844650">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第二十四条  企业事业单位和其他生产经营者在生产经营以及排放大气污染物过程中，应当保证污染防治设施正常运行。禁止通过偷排、篡改或者伪造监测数据、以逃避现场检查为目的的临时停产、非紧急情况下开启应急排放通道、不正常运行大气污染防治设施等逃避监管的方式排放大气污染物。</w:t>
            </w:r>
          </w:p>
          <w:p w14:paraId="6975BD86">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第七十二条 第三项  违反本条例规定，有下列行为之一的，由省、设区的市人民政府生态环境主管部门或其派出机构责令改正或者限制生产、停产整治，并处十万元以上一百万元以下罚款；情节严重的，报经有批准权的人民政府批准，责令停业、关闭；拒不改正的，依法予以按日连续处罚：</w:t>
            </w:r>
          </w:p>
          <w:p w14:paraId="0F0BF390">
            <w:pPr>
              <w:keepNext w:val="0"/>
              <w:keepLines w:val="0"/>
              <w:widowControl/>
              <w:suppressLineNumbers w:val="0"/>
              <w:ind w:left="440" w:hanging="440" w:hanging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（三）通过逃避监管的方式排放大气污染物的。</w:t>
            </w:r>
            <w:r>
              <w:rPr>
                <w:rFonts w:hint="eastAsia" w:ascii="仿宋_GB2312" w:hAnsi="Calibri" w:eastAsia="仿宋_GB2312" w:cs="宋体"/>
                <w:strike w:val="0"/>
                <w:dstrike w:val="0"/>
                <w:color w:val="auto"/>
                <w:kern w:val="2"/>
                <w:sz w:val="22"/>
                <w:szCs w:val="22"/>
                <w:highlight w:val="lightGray"/>
                <w:u w:val="none"/>
                <w:lang w:val="en-US" w:eastAsia="zh-CN" w:bidi="ar-SA"/>
              </w:rPr>
              <w:br w:type="textWrapping"/>
            </w:r>
            <w:r>
              <w:rPr>
                <w:rFonts w:hint="eastAsia" w:ascii="仿宋_GB2312" w:hAnsi="Calibri" w:eastAsia="仿宋_GB2312" w:cs="宋体"/>
                <w:strike w:val="0"/>
                <w:dstrike w:val="0"/>
                <w:color w:val="auto"/>
                <w:kern w:val="2"/>
                <w:sz w:val="22"/>
                <w:szCs w:val="22"/>
                <w:highlight w:val="lightGray"/>
                <w:u w:val="none"/>
                <w:lang w:val="en-US" w:eastAsia="zh-CN" w:bidi="ar-SA"/>
              </w:rPr>
              <w:t>3.《中华人民共和国水污染防治法》（2017年修订）</w:t>
            </w:r>
          </w:p>
          <w:p w14:paraId="6B1E5A00">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第三十九条</w:t>
            </w:r>
            <w:r>
              <w:rPr>
                <w:rFonts w:hint="eastAsia" w:ascii="仿宋_GB2312" w:hAnsi="Calibri" w:cs="宋体"/>
                <w:strike w:val="0"/>
                <w:dstrike w:val="0"/>
                <w:color w:val="auto"/>
                <w:kern w:val="2"/>
                <w:sz w:val="22"/>
                <w:szCs w:val="22"/>
                <w:highlight w:val="lightGray"/>
                <w:u w:val="none"/>
                <w:lang w:val="en-US" w:eastAsia="zh-CN" w:bidi="ar-SA"/>
              </w:rPr>
              <w:t xml:space="preserve">  </w:t>
            </w:r>
            <w:r>
              <w:rPr>
                <w:rFonts w:hint="eastAsia" w:ascii="仿宋_GB2312" w:hAnsi="Calibri" w:eastAsia="仿宋_GB2312" w:cs="宋体"/>
                <w:strike w:val="0"/>
                <w:dstrike w:val="0"/>
                <w:color w:val="auto"/>
                <w:kern w:val="2"/>
                <w:sz w:val="22"/>
                <w:szCs w:val="22"/>
                <w:highlight w:val="lightGray"/>
                <w:u w:val="none"/>
                <w:lang w:val="en-US" w:eastAsia="zh-CN" w:bidi="ar-SA"/>
              </w:rPr>
              <w:t>禁止利用渗井、渗坑、裂隙、溶洞，私设暗管，篡改、伪造监测数据，或者不正常运行水污染防治设施等逃避监管的方式排放水污染物。</w:t>
            </w:r>
          </w:p>
          <w:p w14:paraId="4A24B4EB">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第八十三条 第三项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76F30416">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（三）利用渗井、渗坑、裂隙、溶洞，私设暗管，篡改、伪造监测数据，或者不正常运行水污染防治设施等逃避监管的方式排放水污染物的。</w:t>
            </w:r>
          </w:p>
          <w:p w14:paraId="78B2441F">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4.《排污许可管理条例》（国务院令第736号）</w:t>
            </w:r>
          </w:p>
          <w:p w14:paraId="2DD5C07F">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第十七条　排污许可证是对排污单位进行生态环境监管的主要依据。</w:t>
            </w:r>
          </w:p>
          <w:p w14:paraId="7E43D62F">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排污单位应当遵守排污许可证规定，按照生态环境管理要求运行和维护污染防治设施，建立环境管理制度，严格控制污染物排放。</w:t>
            </w:r>
          </w:p>
          <w:p w14:paraId="63797EC2">
            <w:pPr>
              <w:keepNext w:val="0"/>
              <w:keepLines w:val="0"/>
              <w:widowControl/>
              <w:suppressLineNumbers w:val="0"/>
              <w:ind w:firstLine="440" w:firstLineChars="200"/>
              <w:jc w:val="left"/>
              <w:rPr>
                <w:rFonts w:hint="eastAsia" w:ascii="仿宋_GB2312" w:hAnsi="Calibri" w:eastAsia="仿宋_GB2312" w:cs="宋体"/>
                <w:strike w:val="0"/>
                <w:dstrike w:val="0"/>
                <w:color w:val="auto"/>
                <w:kern w:val="2"/>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第三十四条 第二项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6D2F1F17">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hAnsi="Calibri" w:eastAsia="仿宋_GB2312" w:cs="宋体"/>
                <w:strike/>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lightGray"/>
                <w:u w:val="none"/>
                <w:lang w:val="en-US" w:eastAsia="zh-CN" w:bidi="ar-SA"/>
              </w:rPr>
              <w:t>（二）通过暗管、渗井、渗坑、灌注或者篡改、伪造监测数据，或者不正常运行污染防治设施等逃避监管的方式违法排放污染物。</w:t>
            </w:r>
            <w:r>
              <w:rPr>
                <w:rFonts w:ascii="Times New Roman" w:hAnsi="Times New Roman" w:eastAsia="楷体" w:cs="Times New Roman"/>
                <w:strike w:val="0"/>
                <w:dstrike w:val="0"/>
                <w:color w:val="auto"/>
                <w:sz w:val="22"/>
                <w:szCs w:val="22"/>
                <w:highlight w:val="none"/>
              </w:rPr>
              <w:t>】</w:t>
            </w:r>
          </w:p>
          <w:p w14:paraId="04383E5B">
            <w:pPr>
              <w:keepNext w:val="0"/>
              <w:keepLines w:val="0"/>
              <w:widowControl/>
              <w:suppressLineNumbers w:val="0"/>
              <w:ind w:firstLine="420" w:firstLineChars="200"/>
              <w:jc w:val="left"/>
              <w:rPr>
                <w:rFonts w:eastAsia="宋体"/>
                <w:sz w:val="21"/>
                <w:u w:val="none"/>
                <w:lang w:val="en-US" w:eastAsia="zh-CN"/>
              </w:rPr>
            </w:pPr>
          </w:p>
        </w:tc>
        <w:tc>
          <w:tcPr>
            <w:tcW w:w="2013" w:type="dxa"/>
            <w:vAlign w:val="center"/>
          </w:tcPr>
          <w:p w14:paraId="2D5BEFD1">
            <w:pPr>
              <w:keepNext w:val="0"/>
              <w:keepLines w:val="0"/>
              <w:pageBreakBefore w:val="0"/>
              <w:widowControl w:val="0"/>
              <w:kinsoku/>
              <w:wordWrap/>
              <w:topLinePunct w:val="0"/>
              <w:bidi w:val="0"/>
              <w:snapToGrid/>
              <w:spacing w:beforeAutospacing="0" w:afterAutospacing="0" w:line="320" w:lineRule="exact"/>
              <w:jc w:val="center"/>
              <w:rPr>
                <w:rFonts w:hint="eastAsia" w:ascii="仿宋_GB2312" w:eastAsia="仿宋_GB2312" w:cs="宋体"/>
                <w:color w:val="auto"/>
                <w:sz w:val="22"/>
                <w:szCs w:val="22"/>
                <w:u w:val="none"/>
                <w:lang w:val="en-US" w:eastAsia="zh-CN" w:bidi="ar-SA"/>
              </w:rPr>
            </w:pPr>
          </w:p>
        </w:tc>
      </w:tr>
    </w:tbl>
    <w:p w14:paraId="6A9388BC">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00" w:lineRule="exact"/>
        <w:ind w:left="0" w:firstLine="0"/>
        <w:textAlignment w:val="baseline"/>
        <w:rPr>
          <w:rFonts w:hint="eastAsia" w:ascii="宋体" w:hAnsi="宋体" w:cs="宋体"/>
          <w:b/>
          <w:bCs/>
          <w:color w:val="000000"/>
          <w:kern w:val="0"/>
          <w:sz w:val="24"/>
          <w:szCs w:val="24"/>
          <w:highlight w:val="none"/>
          <w:u w:val="none"/>
          <w:lang w:val="en-US" w:eastAsia="zh-CN"/>
        </w:rPr>
      </w:pPr>
    </w:p>
    <w:p w14:paraId="75E1204A">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400" w:lineRule="exact"/>
        <w:ind w:left="0" w:firstLine="482" w:firstLineChars="200"/>
        <w:textAlignment w:val="baseline"/>
        <w:rPr>
          <w:rFonts w:hint="eastAsia" w:ascii="宋体" w:hAnsi="宋体" w:cs="宋体"/>
          <w:b/>
          <w:bCs/>
          <w:color w:val="000000"/>
          <w:kern w:val="0"/>
          <w:sz w:val="24"/>
          <w:szCs w:val="24"/>
          <w:highlight w:val="none"/>
          <w:u w:val="none"/>
          <w:lang w:val="en-US" w:eastAsia="zh-CN"/>
        </w:rPr>
      </w:pPr>
      <w:r>
        <w:rPr>
          <w:rFonts w:hint="eastAsia" w:ascii="宋体" w:hAnsi="宋体" w:cs="宋体"/>
          <w:b/>
          <w:bCs/>
          <w:color w:val="000000"/>
          <w:kern w:val="0"/>
          <w:sz w:val="24"/>
          <w:szCs w:val="24"/>
          <w:highlight w:val="none"/>
          <w:u w:val="none"/>
          <w:lang w:val="en-US" w:eastAsia="zh-CN"/>
        </w:rPr>
        <w:t>备注：</w:t>
      </w:r>
    </w:p>
    <w:p w14:paraId="5DF683C3">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u w:val="none"/>
          <w:lang w:val="en-US" w:eastAsia="zh-CN" w:bidi="ar-SA"/>
        </w:rPr>
        <w:t>1.《清单》中的“以上”“以下”“不超过”均包含本数。</w:t>
      </w:r>
    </w:p>
    <w:p w14:paraId="3026AA7E">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u w:val="none"/>
          <w:lang w:val="en-US" w:eastAsia="zh-CN" w:bidi="ar-SA"/>
        </w:rPr>
        <w:t>2.有毒有害物质是指《最高人民法院 最高人民检察院关于办理环境污染刑事案件适用法律若干问题的解释》所涉及《关于持久性有机污染物的斯德哥尔摩公约》附件所列物质、含重金属的污染物及列入《有毒有害水污染物名录》《有毒有害大气污染物名录》的污染物。</w:t>
      </w:r>
    </w:p>
    <w:p w14:paraId="6D0F839E">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u w:val="none"/>
          <w:lang w:val="en-US" w:eastAsia="zh-CN" w:bidi="ar-SA"/>
        </w:rPr>
        <w:t>3.《清单》列明的情形不适用于生态保护红线内、自然保护区、饮用水源保护区、风景名胜区等环境敏感及特殊保护区域发生的环境违法行为。</w:t>
      </w:r>
    </w:p>
    <w:p w14:paraId="4B29F3C9">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highlight w:val="none"/>
          <w:u w:val="none"/>
          <w:lang w:val="en-US" w:eastAsia="zh-CN" w:bidi="ar-SA"/>
        </w:rPr>
      </w:pPr>
      <w:r>
        <w:rPr>
          <w:rFonts w:hint="eastAsia" w:ascii="仿宋_GB2312" w:hAnsi="Calibri" w:eastAsia="仿宋_GB2312" w:cs="宋体"/>
          <w:color w:val="auto"/>
          <w:kern w:val="2"/>
          <w:sz w:val="22"/>
          <w:szCs w:val="22"/>
          <w:u w:val="none"/>
          <w:lang w:val="en-US" w:eastAsia="zh-CN" w:bidi="ar-SA"/>
        </w:rPr>
        <w:t>4.“初次违法”是指本案违法行为发现之日（即首次调查之日）起往前追溯两年，当事人在本设区市未</w:t>
      </w:r>
      <w:r>
        <w:rPr>
          <w:rFonts w:hint="eastAsia" w:ascii="仿宋_GB2312" w:hAnsi="Calibri" w:eastAsia="仿宋_GB2312" w:cs="宋体"/>
          <w:color w:val="auto"/>
          <w:kern w:val="2"/>
          <w:sz w:val="22"/>
          <w:szCs w:val="22"/>
          <w:highlight w:val="none"/>
          <w:u w:val="none"/>
          <w:lang w:val="en-US" w:eastAsia="zh-CN" w:bidi="ar-SA"/>
        </w:rPr>
        <w:t>发现过同一种违法行为（发现时间以行政处罚决定书/不予行政处罚决定书作出的时间为准）。</w:t>
      </w:r>
    </w:p>
    <w:p w14:paraId="061C3C2B">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highlight w:val="none"/>
          <w:u w:val="none"/>
          <w:lang w:val="en-US" w:eastAsia="zh-CN" w:bidi="ar-SA"/>
        </w:rPr>
        <w:t>5.执法人员发现或者当事人提出违法行为符合《清单》规定情形的，执法人员应当对违法行为的事实、性质、情节以及社会</w:t>
      </w:r>
      <w:r>
        <w:rPr>
          <w:rFonts w:hint="eastAsia" w:ascii="仿宋_GB2312" w:hAnsi="Calibri" w:eastAsia="仿宋_GB2312" w:cs="宋体"/>
          <w:color w:val="auto"/>
          <w:kern w:val="2"/>
          <w:sz w:val="22"/>
          <w:szCs w:val="22"/>
          <w:u w:val="none"/>
          <w:lang w:val="en-US" w:eastAsia="zh-CN" w:bidi="ar-SA"/>
        </w:rPr>
        <w:t>危害程度进行全面调查，严格落实执法全过程记录制度要求，客观、公正记录，并将相关记录和文书整理归档，确保留痕留迹，履职尽责有据可查。</w:t>
      </w:r>
    </w:p>
    <w:p w14:paraId="6522CF16">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highlight w:val="none"/>
          <w:u w:val="none"/>
          <w:lang w:val="en-US" w:eastAsia="zh-CN" w:bidi="ar-SA"/>
        </w:rPr>
      </w:pPr>
      <w:r>
        <w:rPr>
          <w:rFonts w:hint="eastAsia" w:ascii="仿宋_GB2312" w:hAnsi="Calibri" w:eastAsia="仿宋_GB2312" w:cs="宋体"/>
          <w:color w:val="auto"/>
          <w:kern w:val="2"/>
          <w:sz w:val="22"/>
          <w:szCs w:val="22"/>
          <w:u w:val="none"/>
          <w:lang w:val="en-US" w:eastAsia="zh-CN" w:bidi="ar-SA"/>
        </w:rPr>
        <w:t>6.“</w:t>
      </w:r>
      <w:r>
        <w:rPr>
          <w:rFonts w:hint="eastAsia" w:ascii="仿宋_GB2312" w:hAnsi="Calibri" w:eastAsia="仿宋_GB2312" w:cs="宋体"/>
          <w:color w:val="auto"/>
          <w:kern w:val="2"/>
          <w:sz w:val="22"/>
          <w:szCs w:val="22"/>
          <w:highlight w:val="none"/>
          <w:u w:val="none"/>
          <w:lang w:val="en-US" w:eastAsia="zh-CN" w:bidi="ar-SA"/>
        </w:rPr>
        <w:t>及时改正”时限是指，清单中已经列明的，以首次调查发现违法行为次日起计算；清单中未列明的，以生态环境主管部门作出的责令改正书为准。</w:t>
      </w:r>
    </w:p>
    <w:p w14:paraId="5158B626">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highlight w:val="none"/>
          <w:u w:val="none"/>
          <w:lang w:val="en-US" w:eastAsia="zh-CN" w:bidi="ar-SA"/>
        </w:rPr>
      </w:pPr>
      <w:r>
        <w:rPr>
          <w:rFonts w:hint="eastAsia" w:ascii="仿宋_GB2312" w:hAnsi="Calibri" w:eastAsia="仿宋_GB2312" w:cs="宋体"/>
          <w:color w:val="auto"/>
          <w:kern w:val="2"/>
          <w:sz w:val="22"/>
          <w:szCs w:val="22"/>
          <w:highlight w:val="none"/>
          <w:u w:val="none"/>
          <w:lang w:val="en-US" w:eastAsia="zh-CN" w:bidi="ar-SA"/>
        </w:rPr>
        <w:t>7.符合“当场改正”的，执法人员应当将当场改正情况写入现场检查记录并拍照确认。</w:t>
      </w:r>
    </w:p>
    <w:p w14:paraId="0131C3BD">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440" w:firstLineChars="200"/>
        <w:textAlignment w:val="baseline"/>
        <w:rPr>
          <w:rFonts w:hint="eastAsia" w:ascii="仿宋_GB2312" w:hAnsi="Calibri"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u w:val="none"/>
          <w:lang w:val="en-US" w:eastAsia="zh-CN" w:bidi="ar-SA"/>
        </w:rPr>
        <w:t>8.经调查发现符合《清单》规定的不予处罚情形的，承办机构应当填写制作立案审批表、案件调查报告、案件处理内部审批表，提出处理建议，按程序送签，依法制作送达不予行政处罚事先告知书、不予行政处罚决定书；执法人员应当对当事人进行教育并制作现场检查记录，除当场改正的，应当依法下达责令改正书，明确整改要求并按时限开展复核。拒绝整改、逾期不予整改、整改不符合要求、弄虚作假、再次发现同一种或其他违法行为的，执法人员应当依法立案查处。</w:t>
      </w:r>
    </w:p>
    <w:p w14:paraId="04CBAE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auto"/>
        <w:rPr>
          <w:rFonts w:hint="eastAsia" w:ascii="仿宋_GB2312" w:hAnsi="Calibri" w:eastAsia="仿宋_GB2312" w:cs="宋体"/>
          <w:color w:val="auto"/>
          <w:kern w:val="2"/>
          <w:sz w:val="22"/>
          <w:szCs w:val="22"/>
          <w:u w:val="none"/>
          <w:lang w:val="en-US" w:eastAsia="zh-CN" w:bidi="ar-SA"/>
        </w:rPr>
      </w:pPr>
      <w:r>
        <w:rPr>
          <w:rFonts w:hint="eastAsia" w:ascii="仿宋_GB2312" w:eastAsia="仿宋_GB2312" w:cs="宋体"/>
          <w:color w:val="auto"/>
          <w:kern w:val="2"/>
          <w:sz w:val="22"/>
          <w:szCs w:val="22"/>
          <w:u w:val="none"/>
          <w:lang w:val="en-US" w:eastAsia="zh-CN" w:bidi="ar-SA"/>
        </w:rPr>
        <w:t>9.</w:t>
      </w:r>
      <w:r>
        <w:rPr>
          <w:rFonts w:hint="eastAsia" w:ascii="仿宋_GB2312" w:hAnsi="Calibri" w:eastAsia="仿宋_GB2312" w:cs="宋体"/>
          <w:color w:val="auto"/>
          <w:kern w:val="2"/>
          <w:sz w:val="22"/>
          <w:szCs w:val="22"/>
          <w:u w:val="none"/>
          <w:lang w:val="en-US" w:eastAsia="zh-CN" w:bidi="ar-SA"/>
        </w:rPr>
        <w:t>《清单》</w:t>
      </w:r>
      <w:r>
        <w:rPr>
          <w:rFonts w:hint="eastAsia" w:ascii="仿宋_GB2312" w:eastAsia="仿宋_GB2312" w:cs="宋体"/>
          <w:color w:val="auto"/>
          <w:kern w:val="2"/>
          <w:sz w:val="22"/>
          <w:szCs w:val="22"/>
          <w:u w:val="none"/>
          <w:lang w:val="en-US" w:eastAsia="zh-CN" w:bidi="ar-SA"/>
        </w:rPr>
        <w:t>未</w:t>
      </w:r>
      <w:r>
        <w:rPr>
          <w:rFonts w:hint="eastAsia" w:ascii="仿宋_GB2312" w:hAnsi="Calibri" w:eastAsia="仿宋_GB2312" w:cs="宋体"/>
          <w:color w:val="auto"/>
          <w:kern w:val="2"/>
          <w:sz w:val="22"/>
          <w:szCs w:val="22"/>
          <w:u w:val="none"/>
          <w:lang w:val="en-US" w:eastAsia="zh-CN" w:bidi="ar-SA"/>
        </w:rPr>
        <w:t>涵盖生态环境领域所有依法不予处罚情形。因当事人法律责任年龄、责任能力不足等其他不予处罚情形的，应当按照《中华人民共和国行政处罚法》等相关法律法规的规定，依法适用。《清单》未列明的违法行为，按照《中华人民共和国行政处罚法》等相关法律法规的规定，规范行使自由裁量权，判定处罚裁量情形。</w:t>
      </w:r>
    </w:p>
    <w:p w14:paraId="6592A8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auto"/>
        <w:rPr>
          <w:rFonts w:hint="eastAsia" w:ascii="宋体" w:hAnsi="宋体" w:cs="宋体"/>
          <w:b/>
          <w:bCs/>
          <w:color w:val="000000"/>
          <w:kern w:val="0"/>
          <w:sz w:val="24"/>
          <w:szCs w:val="24"/>
          <w:highlight w:val="none"/>
          <w:u w:val="none"/>
          <w:lang w:val="en-US" w:eastAsia="zh-CN"/>
        </w:rPr>
        <w:sectPr>
          <w:footerReference r:id="rId3" w:type="default"/>
          <w:footerReference r:id="rId4" w:type="even"/>
          <w:pgSz w:w="16838" w:h="11906" w:orient="landscape"/>
          <w:pgMar w:top="1134" w:right="1304" w:bottom="1247" w:left="1304" w:header="851" w:footer="992" w:gutter="0"/>
          <w:cols w:space="720" w:num="1"/>
          <w:docGrid w:type="lines" w:linePitch="319" w:charSpace="0"/>
        </w:sectPr>
      </w:pPr>
      <w:r>
        <w:rPr>
          <w:rFonts w:hint="eastAsia" w:ascii="仿宋_GB2312" w:eastAsia="仿宋_GB2312" w:cs="宋体"/>
          <w:color w:val="auto"/>
          <w:kern w:val="2"/>
          <w:sz w:val="22"/>
          <w:szCs w:val="22"/>
          <w:u w:val="none"/>
          <w:lang w:val="en-US" w:eastAsia="zh-CN" w:bidi="ar-SA"/>
        </w:rPr>
        <w:t>10.</w:t>
      </w:r>
      <w:r>
        <w:rPr>
          <w:rFonts w:hint="eastAsia" w:ascii="仿宋_GB2312" w:hAnsi="Calibri" w:eastAsia="仿宋_GB2312" w:cs="宋体"/>
          <w:color w:val="auto"/>
          <w:kern w:val="2"/>
          <w:sz w:val="22"/>
          <w:szCs w:val="22"/>
          <w:u w:val="none"/>
          <w:lang w:val="en-US" w:eastAsia="zh-CN" w:bidi="ar-SA"/>
        </w:rPr>
        <w:t>《清单》</w:t>
      </w:r>
      <w:r>
        <w:rPr>
          <w:rFonts w:hint="eastAsia" w:ascii="仿宋_GB2312" w:eastAsia="仿宋_GB2312" w:cs="宋体"/>
          <w:color w:val="auto"/>
          <w:kern w:val="2"/>
          <w:sz w:val="22"/>
          <w:szCs w:val="22"/>
          <w:u w:val="none"/>
          <w:lang w:val="en-US" w:eastAsia="zh-CN" w:bidi="ar-SA"/>
        </w:rPr>
        <w:t>实施</w:t>
      </w:r>
      <w:r>
        <w:rPr>
          <w:rFonts w:hint="eastAsia" w:ascii="仿宋_GB2312" w:hAnsi="Calibri" w:eastAsia="仿宋_GB2312" w:cs="宋体"/>
          <w:color w:val="auto"/>
          <w:kern w:val="2"/>
          <w:sz w:val="22"/>
          <w:szCs w:val="22"/>
          <w:u w:val="none"/>
          <w:lang w:val="en-US" w:eastAsia="zh-CN" w:bidi="ar-SA"/>
        </w:rPr>
        <w:t>之前发生的生态环境违法行为，符合不予处罚条件且尚未作出行政处罚决定的，适用《清单》的规定</w:t>
      </w:r>
      <w:r>
        <w:rPr>
          <w:rFonts w:hint="eastAsia" w:ascii="仿宋_GB2312" w:eastAsia="仿宋_GB2312" w:cs="宋体"/>
          <w:color w:val="auto"/>
          <w:kern w:val="2"/>
          <w:sz w:val="22"/>
          <w:szCs w:val="22"/>
          <w:u w:val="none"/>
          <w:lang w:val="en-US" w:eastAsia="zh-CN" w:bidi="ar-SA"/>
        </w:rPr>
        <w:t>。</w:t>
      </w:r>
    </w:p>
    <w:p w14:paraId="2EC583FD">
      <w:pPr>
        <w:keepNext w:val="0"/>
        <w:keepLines w:val="0"/>
        <w:pageBreakBefore w:val="0"/>
        <w:widowControl w:val="0"/>
        <w:kinsoku/>
        <w:topLinePunct w:val="0"/>
        <w:bidi w:val="0"/>
        <w:snapToGrid/>
        <w:spacing w:beforeAutospacing="0" w:afterAutospacing="0"/>
        <w:jc w:val="center"/>
        <w:rPr>
          <w:rFonts w:hint="eastAsia" w:ascii="方正小标宋简体" w:hAnsi="仿宋" w:eastAsia="方正小标宋简体" w:cs="仿宋"/>
          <w:color w:val="auto"/>
          <w:sz w:val="44"/>
          <w:szCs w:val="44"/>
          <w:u w:val="none"/>
          <w:lang w:eastAsia="zh-CN" w:bidi="ar-SA"/>
        </w:rPr>
      </w:pPr>
      <w:r>
        <w:rPr>
          <w:rFonts w:hint="eastAsia" w:ascii="方正小标宋简体" w:hAnsi="仿宋" w:eastAsia="方正小标宋简体" w:cs="仿宋"/>
          <w:color w:val="auto"/>
          <w:sz w:val="44"/>
          <w:szCs w:val="44"/>
          <w:u w:val="none"/>
          <w:lang w:val="en-US" w:eastAsia="zh-CN" w:bidi="ar-SA"/>
        </w:rPr>
        <w:t>从轻行政处罚事项清单</w:t>
      </w:r>
    </w:p>
    <w:tbl>
      <w:tblPr>
        <w:tblStyle w:val="14"/>
        <w:tblW w:w="14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922"/>
        <w:gridCol w:w="3227"/>
        <w:gridCol w:w="4131"/>
        <w:gridCol w:w="4574"/>
      </w:tblGrid>
      <w:tr w14:paraId="0EEE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48" w:type="dxa"/>
            <w:tcBorders>
              <w:top w:val="single" w:color="auto" w:sz="4" w:space="0"/>
              <w:left w:val="single" w:color="auto" w:sz="4" w:space="0"/>
              <w:bottom w:val="single" w:color="auto" w:sz="4" w:space="0"/>
              <w:right w:val="single" w:color="auto" w:sz="4" w:space="0"/>
            </w:tcBorders>
            <w:vAlign w:val="center"/>
          </w:tcPr>
          <w:p w14:paraId="717F3566">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序号</w:t>
            </w:r>
          </w:p>
        </w:tc>
        <w:tc>
          <w:tcPr>
            <w:tcW w:w="1922" w:type="dxa"/>
            <w:tcBorders>
              <w:top w:val="single" w:color="auto" w:sz="4" w:space="0"/>
              <w:left w:val="single" w:color="auto" w:sz="4" w:space="0"/>
              <w:bottom w:val="single" w:color="auto" w:sz="4" w:space="0"/>
              <w:right w:val="single" w:color="auto" w:sz="4" w:space="0"/>
            </w:tcBorders>
            <w:vAlign w:val="center"/>
          </w:tcPr>
          <w:p w14:paraId="22DAA4AD">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行政处罚事项</w:t>
            </w:r>
          </w:p>
        </w:tc>
        <w:tc>
          <w:tcPr>
            <w:tcW w:w="3227" w:type="dxa"/>
            <w:tcBorders>
              <w:top w:val="single" w:color="auto" w:sz="4" w:space="0"/>
              <w:left w:val="single" w:color="auto" w:sz="4" w:space="0"/>
              <w:bottom w:val="single" w:color="auto" w:sz="4" w:space="0"/>
              <w:right w:val="single" w:color="auto" w:sz="4" w:space="0"/>
            </w:tcBorders>
            <w:vAlign w:val="center"/>
          </w:tcPr>
          <w:p w14:paraId="25FE047C">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从轻处罚适用条件</w:t>
            </w:r>
          </w:p>
        </w:tc>
        <w:tc>
          <w:tcPr>
            <w:tcW w:w="4131" w:type="dxa"/>
            <w:tcBorders>
              <w:top w:val="single" w:color="auto" w:sz="4" w:space="0"/>
              <w:left w:val="single" w:color="auto" w:sz="4" w:space="0"/>
              <w:bottom w:val="single" w:color="auto" w:sz="4" w:space="0"/>
              <w:right w:val="single" w:color="auto" w:sz="4" w:space="0"/>
            </w:tcBorders>
            <w:vAlign w:val="center"/>
          </w:tcPr>
          <w:p w14:paraId="3D8A2D30">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法定依据</w:t>
            </w:r>
          </w:p>
        </w:tc>
        <w:tc>
          <w:tcPr>
            <w:tcW w:w="4574" w:type="dxa"/>
            <w:tcBorders>
              <w:top w:val="single" w:color="auto" w:sz="4" w:space="0"/>
              <w:left w:val="single" w:color="auto" w:sz="4" w:space="0"/>
              <w:bottom w:val="single" w:color="auto" w:sz="4" w:space="0"/>
              <w:right w:val="single" w:color="auto" w:sz="4" w:space="0"/>
            </w:tcBorders>
            <w:vAlign w:val="center"/>
          </w:tcPr>
          <w:p w14:paraId="29F1C589">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备注</w:t>
            </w:r>
          </w:p>
        </w:tc>
      </w:tr>
      <w:tr w14:paraId="2EF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748" w:type="dxa"/>
            <w:tcBorders>
              <w:top w:val="single" w:color="auto" w:sz="4" w:space="0"/>
              <w:left w:val="single" w:color="auto" w:sz="4" w:space="0"/>
              <w:right w:val="single" w:color="auto" w:sz="4" w:space="0"/>
            </w:tcBorders>
            <w:vAlign w:val="center"/>
          </w:tcPr>
          <w:p w14:paraId="065695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w:t>
            </w:r>
          </w:p>
        </w:tc>
        <w:tc>
          <w:tcPr>
            <w:tcW w:w="1922" w:type="dxa"/>
            <w:tcBorders>
              <w:top w:val="single" w:color="auto" w:sz="4" w:space="0"/>
              <w:left w:val="single" w:color="auto" w:sz="4" w:space="0"/>
              <w:right w:val="single" w:color="auto" w:sz="4" w:space="0"/>
            </w:tcBorders>
            <w:vAlign w:val="center"/>
          </w:tcPr>
          <w:p w14:paraId="715807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对符合生态环境损害赔偿的行政处罚</w:t>
            </w:r>
          </w:p>
        </w:tc>
        <w:tc>
          <w:tcPr>
            <w:tcW w:w="3227" w:type="dxa"/>
            <w:tcBorders>
              <w:top w:val="single" w:color="auto" w:sz="4" w:space="0"/>
              <w:left w:val="single" w:color="auto" w:sz="4" w:space="0"/>
              <w:bottom w:val="single" w:color="auto" w:sz="4" w:space="0"/>
              <w:right w:val="single" w:color="auto" w:sz="4" w:space="0"/>
            </w:tcBorders>
            <w:vAlign w:val="center"/>
          </w:tcPr>
          <w:p w14:paraId="0417A05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当事人已对受损生态环境进行了修复或者对无法修复的进行了替代修复或赔偿，履行了全部生态环境损害赔偿义务，或者当事人正在履行生态环境损害赔偿义务且确保修复和赔偿义务可履行到位的。</w:t>
            </w:r>
          </w:p>
        </w:tc>
        <w:tc>
          <w:tcPr>
            <w:tcW w:w="4131" w:type="dxa"/>
            <w:tcBorders>
              <w:top w:val="single" w:color="auto" w:sz="4" w:space="0"/>
              <w:left w:val="single" w:color="auto" w:sz="4" w:space="0"/>
              <w:right w:val="single" w:color="auto" w:sz="4" w:space="0"/>
            </w:tcBorders>
            <w:vAlign w:val="center"/>
          </w:tcPr>
          <w:p w14:paraId="16247E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u w:val="none"/>
                <w:lang w:val="en-US" w:eastAsia="zh-CN" w:bidi="ar-SA"/>
              </w:rPr>
              <w:t>《中华人民共和国行政处罚法》（2021年修订）</w:t>
            </w:r>
          </w:p>
          <w:p w14:paraId="73643D4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第三十二条 第一项  当事人有下列情形之一，应当从轻或者减轻行政处罚：</w:t>
            </w:r>
          </w:p>
          <w:p w14:paraId="15B26C26">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（一）主动消除或者减轻违法行为危害后果的。</w:t>
            </w:r>
            <w:r>
              <w:rPr>
                <w:rFonts w:hint="eastAsia" w:ascii="仿宋_GB2312" w:eastAsia="仿宋_GB2312" w:cs="宋体"/>
                <w:color w:val="auto"/>
                <w:sz w:val="22"/>
                <w:szCs w:val="22"/>
                <w:u w:val="none"/>
                <w:lang w:val="en-US" w:eastAsia="zh-CN" w:bidi="ar-SA"/>
              </w:rPr>
              <w:br w:type="textWrapping"/>
            </w:r>
            <w:r>
              <w:rPr>
                <w:rFonts w:hint="eastAsia" w:ascii="仿宋_GB2312" w:cs="宋体"/>
                <w:color w:val="auto"/>
                <w:sz w:val="22"/>
                <w:szCs w:val="22"/>
                <w:u w:val="none"/>
                <w:lang w:val="en-US" w:eastAsia="zh-CN" w:bidi="ar-SA"/>
              </w:rPr>
              <w:t xml:space="preserve">   </w:t>
            </w: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highlight w:val="yellow"/>
                <w:u w:val="none"/>
                <w:lang w:val="en-US" w:eastAsia="zh-CN" w:bidi="ar-SA"/>
              </w:rPr>
              <w:t>.《中华人民共和国生态环境法典》（自2026年8月15日起施行）</w:t>
            </w:r>
            <w:r>
              <w:rPr>
                <w:rFonts w:hint="eastAsia"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ascii="仿宋_GB2312" w:eastAsia="仿宋_GB2312" w:cs="宋体"/>
                <w:color w:val="auto"/>
                <w:sz w:val="22"/>
                <w:szCs w:val="22"/>
                <w:highlight w:val="yellow"/>
                <w:u w:val="none"/>
                <w:lang w:val="en-US" w:eastAsia="zh-CN" w:bidi="ar-SA"/>
              </w:rPr>
              <w:t>第一千零五十六条</w:t>
            </w:r>
            <w:r>
              <w:rPr>
                <w:rFonts w:hint="eastAsia" w:ascii="仿宋_GB2312" w:cs="宋体"/>
                <w:color w:val="auto"/>
                <w:sz w:val="22"/>
                <w:szCs w:val="22"/>
                <w:highlight w:val="yellow"/>
                <w:u w:val="none"/>
                <w:lang w:val="en-US" w:eastAsia="zh-CN" w:bidi="ar-SA"/>
              </w:rPr>
              <w:t xml:space="preserve">第二款 </w:t>
            </w:r>
            <w:r>
              <w:rPr>
                <w:rFonts w:ascii="仿宋_GB2312" w:eastAsia="仿宋_GB2312" w:cs="宋体"/>
                <w:color w:val="auto"/>
                <w:sz w:val="22"/>
                <w:szCs w:val="22"/>
                <w:highlight w:val="yellow"/>
                <w:u w:val="none"/>
                <w:lang w:val="en-US" w:eastAsia="zh-CN" w:bidi="ar-SA"/>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tc>
        <w:tc>
          <w:tcPr>
            <w:tcW w:w="4574" w:type="dxa"/>
            <w:tcBorders>
              <w:top w:val="single" w:color="auto" w:sz="4" w:space="0"/>
              <w:left w:val="single" w:color="auto" w:sz="4" w:space="0"/>
              <w:right w:val="single" w:color="auto" w:sz="4" w:space="0"/>
            </w:tcBorders>
            <w:vAlign w:val="center"/>
          </w:tcPr>
          <w:p w14:paraId="239C32E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1.以生态环境损害赔偿协议、修复效果评估报告等相关文件作为从轻处罚的认定依据。</w:t>
            </w:r>
          </w:p>
          <w:p w14:paraId="1E1CDE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2.计算方法：</w:t>
            </w:r>
          </w:p>
          <w:p w14:paraId="57D3F2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（一）对于当事人在行政处罚案件立案调查后30日内或者生态环境主管部门启动索赔与当事人首次磋商后1个月内履行了全部生态环境损害赔偿义务的，从轻处罚的金额为其生态环境损害赔偿的金额；</w:t>
            </w:r>
          </w:p>
          <w:p w14:paraId="56095F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二）对于当事人在行政处罚案件立案调查后31-50日内或者生态环境主管部门启动索赔与当事人首次磋商后1-2个月内履行了全部生态环境损害赔偿义务的，从轻处罚的金额为按上述第（一）项规定的方式计算的金额的90%</w:t>
            </w:r>
            <w:r>
              <w:rPr>
                <w:rFonts w:hint="eastAsia" w:ascii="仿宋_GB2312" w:cs="宋体"/>
                <w:color w:val="auto"/>
                <w:sz w:val="22"/>
                <w:szCs w:val="22"/>
                <w:u w:val="none"/>
                <w:lang w:val="en-US" w:eastAsia="zh-CN" w:bidi="ar-SA"/>
              </w:rPr>
              <w:t>；</w:t>
            </w:r>
          </w:p>
          <w:p w14:paraId="04D178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三）对于须履行的生态环境损害赔偿义务以货币计算超过5万元以上的，当事人在行政处罚案件立案调查后60日内或者生态环境主管部门启动索赔与当事人首次磋商后2-3个月内履行了全部生态环境损害赔偿义务的，从轻处罚的金额为按上述第（一）项规定的方式计算的金额的80%</w:t>
            </w:r>
            <w:r>
              <w:rPr>
                <w:rFonts w:hint="eastAsia" w:ascii="仿宋_GB2312" w:cs="宋体"/>
                <w:color w:val="auto"/>
                <w:sz w:val="22"/>
                <w:szCs w:val="22"/>
                <w:u w:val="none"/>
                <w:lang w:val="en-US" w:eastAsia="zh-CN" w:bidi="ar-SA"/>
              </w:rPr>
              <w:t>；</w:t>
            </w:r>
          </w:p>
          <w:p w14:paraId="2107483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（四）除上述情形之外，在行政处罚决定书作出之前履行生态环境损害赔偿义务的，从轻处罚的金额为按上述第（一）项规定的方式计算金额的50%。</w:t>
            </w:r>
          </w:p>
        </w:tc>
      </w:tr>
      <w:tr w14:paraId="58EF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5" w:hRule="atLeast"/>
          <w:jc w:val="center"/>
        </w:trPr>
        <w:tc>
          <w:tcPr>
            <w:tcW w:w="748" w:type="dxa"/>
            <w:tcBorders>
              <w:left w:val="single" w:color="auto" w:sz="4" w:space="0"/>
              <w:right w:val="single" w:color="auto" w:sz="4" w:space="0"/>
            </w:tcBorders>
            <w:vAlign w:val="center"/>
          </w:tcPr>
          <w:p w14:paraId="2F9830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center"/>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2</w:t>
            </w:r>
          </w:p>
        </w:tc>
        <w:tc>
          <w:tcPr>
            <w:tcW w:w="1922" w:type="dxa"/>
            <w:tcBorders>
              <w:left w:val="single" w:color="auto" w:sz="4" w:space="0"/>
              <w:right w:val="single" w:color="auto" w:sz="4" w:space="0"/>
            </w:tcBorders>
            <w:vAlign w:val="center"/>
          </w:tcPr>
          <w:p w14:paraId="24BBBF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对建设项目未依法进行环境影响评价，建设单位擅自开工建设的处罚</w:t>
            </w:r>
          </w:p>
        </w:tc>
        <w:tc>
          <w:tcPr>
            <w:tcW w:w="3227" w:type="dxa"/>
            <w:tcBorders>
              <w:top w:val="single" w:color="auto" w:sz="4" w:space="0"/>
              <w:left w:val="single" w:color="auto" w:sz="4" w:space="0"/>
              <w:bottom w:val="single" w:color="auto" w:sz="4" w:space="0"/>
              <w:right w:val="single" w:color="auto" w:sz="4" w:space="0"/>
            </w:tcBorders>
            <w:vAlign w:val="center"/>
          </w:tcPr>
          <w:p w14:paraId="4217918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初次违法，依法应当编制环境影响报告表的建设项目，或者依法应当编制环境影响报告书的基本民生、公共利益类建设项目（包括供水、排水、供电、供热、供气、医院、城镇污水处理、生活垃圾处理、危险废物处置、工业区污水处理等公共设施），未依法进行环境影响评价，擅自开工建设，建设单位主动实施关停、停止建设或者恢复原状，且直接负责的主管人员或其他责任人员配合调查的。</w:t>
            </w:r>
          </w:p>
        </w:tc>
        <w:tc>
          <w:tcPr>
            <w:tcW w:w="4131" w:type="dxa"/>
            <w:tcBorders>
              <w:left w:val="single" w:color="auto" w:sz="4" w:space="0"/>
              <w:right w:val="single" w:color="auto" w:sz="4" w:space="0"/>
            </w:tcBorders>
            <w:vAlign w:val="center"/>
          </w:tcPr>
          <w:p w14:paraId="76978D73">
            <w:pPr>
              <w:keepNext w:val="0"/>
              <w:keepLines w:val="0"/>
              <w:pageBreakBefore w:val="0"/>
              <w:widowControl w:val="0"/>
              <w:kinsoku/>
              <w:wordWrap/>
              <w:topLinePunct w:val="0"/>
              <w:bidi w:val="0"/>
              <w:snapToGrid/>
              <w:spacing w:beforeAutospacing="0" w:afterAutospacing="0" w:line="320" w:lineRule="exact"/>
              <w:ind w:firstLine="440" w:firstLineChars="200"/>
              <w:jc w:val="both"/>
              <w:rPr>
                <w:rFonts w:hint="eastAsia" w:ascii="仿宋_GB2312" w:eastAsia="仿宋_GB2312" w:cs="宋体"/>
                <w:color w:val="auto"/>
                <w:sz w:val="22"/>
                <w:szCs w:val="22"/>
                <w:highlight w:val="yellow"/>
                <w:u w:val="none"/>
                <w:lang w:val="en-US" w:eastAsia="zh-CN" w:bidi="ar-SA"/>
              </w:rPr>
            </w:pPr>
            <w:r>
              <w:rPr>
                <w:rFonts w:hint="eastAsia" w:ascii="仿宋_GB2312" w:eastAsia="仿宋_GB2312" w:cs="宋体"/>
                <w:color w:val="auto"/>
                <w:sz w:val="22"/>
                <w:szCs w:val="22"/>
                <w:highlight w:val="yellow"/>
                <w:u w:val="none"/>
                <w:lang w:val="en-US" w:eastAsia="zh-CN" w:bidi="ar-SA"/>
              </w:rPr>
              <w:t>《中华人民共和国生态环境法典》（自2026年8月15日起施行）</w:t>
            </w:r>
          </w:p>
          <w:p w14:paraId="2D544D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color w:val="auto"/>
                <w:sz w:val="22"/>
                <w:szCs w:val="22"/>
                <w:highlight w:val="yellow"/>
                <w:u w:val="none"/>
                <w:lang w:val="en-US" w:eastAsia="zh-CN" w:bidi="ar-SA"/>
              </w:rPr>
              <w:t>第一百零二条</w:t>
            </w:r>
            <w:r>
              <w:rPr>
                <w:rFonts w:hint="eastAsia" w:ascii="仿宋_GB2312" w:cs="宋体"/>
                <w:color w:val="auto"/>
                <w:sz w:val="22"/>
                <w:szCs w:val="22"/>
                <w:highlight w:val="yellow"/>
                <w:u w:val="none"/>
                <w:lang w:val="en-US" w:eastAsia="zh-CN" w:bidi="ar-SA"/>
              </w:rPr>
              <w:t>第一款</w:t>
            </w:r>
            <w:r>
              <w:rPr>
                <w:rFonts w:hint="eastAsia" w:ascii="仿宋_GB2312" w:eastAsia="仿宋_GB2312" w:cs="宋体"/>
                <w:color w:val="auto"/>
                <w:sz w:val="22"/>
                <w:szCs w:val="22"/>
                <w:highlight w:val="yellow"/>
                <w:u w:val="none"/>
                <w:lang w:val="en-US" w:eastAsia="zh-CN" w:bidi="ar-SA"/>
              </w:rPr>
              <w:t>　建设项目的生态环境影响报告书、生态环境影响报告表，由建设单位按照规定报有审批权的生态环境主管部门审批。</w:t>
            </w:r>
            <w:r>
              <w:rPr>
                <w:rFonts w:hint="eastAsia"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第一百零七条　建设项目的生态环境影响报告书、生态环境影响报告表未依法经审批部门审查或者审查后未予批准的，或者未经原审批部门重新审核同意的，建设单位不得开工建设。</w:t>
            </w:r>
            <w:r>
              <w:rPr>
                <w:rFonts w:hint="eastAsia" w:ascii="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第一千零九十五条第一款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r>
              <w:rPr>
                <w:rFonts w:hint="eastAsia" w:ascii="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《中华人民共和国环境影响评价法》（2018年修订）</w:t>
            </w:r>
          </w:p>
          <w:p w14:paraId="69B31B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第三十一条 第一款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0FEEBDE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第二款  建设项目环境影响报告书、报告表未经批准或者未经原审批部门重新审核同意，建设单位擅自开工建设的，依照前款的规定处罚、处分。</w:t>
            </w:r>
          </w:p>
          <w:p w14:paraId="02F3A5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eastAsia="仿宋_GB2312" w:cs="宋体"/>
                <w:color w:val="auto"/>
                <w:sz w:val="22"/>
                <w:szCs w:val="22"/>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第四款  海洋工程建设项目的建设单位有本条所列违法行为的，依照《中华人民共和国海洋环境保护法》的规定处罚。</w:t>
            </w:r>
            <w:r>
              <w:rPr>
                <w:rFonts w:ascii="Times New Roman" w:hAnsi="Times New Roman" w:eastAsia="楷体" w:cs="Times New Roman"/>
                <w:strike w:val="0"/>
                <w:dstrike w:val="0"/>
                <w:color w:val="auto"/>
                <w:sz w:val="22"/>
                <w:szCs w:val="22"/>
                <w:highlight w:val="none"/>
              </w:rPr>
              <w:t>】</w:t>
            </w:r>
          </w:p>
        </w:tc>
        <w:tc>
          <w:tcPr>
            <w:tcW w:w="4574" w:type="dxa"/>
            <w:tcBorders>
              <w:left w:val="single" w:color="auto" w:sz="4" w:space="0"/>
              <w:right w:val="single" w:color="auto" w:sz="4" w:space="0"/>
            </w:tcBorders>
            <w:vAlign w:val="center"/>
          </w:tcPr>
          <w:p w14:paraId="5260A667">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hint="eastAsia" w:ascii="仿宋_GB2312" w:eastAsia="仿宋_GB2312" w:cs="宋体"/>
                <w:color w:val="auto"/>
                <w:sz w:val="22"/>
                <w:szCs w:val="22"/>
                <w:u w:val="none"/>
                <w:lang w:val="en-US" w:eastAsia="zh-CN" w:bidi="ar-SA"/>
              </w:rPr>
            </w:pPr>
          </w:p>
        </w:tc>
      </w:tr>
      <w:tr w14:paraId="42A2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748" w:type="dxa"/>
            <w:tcBorders>
              <w:left w:val="single" w:color="auto" w:sz="4" w:space="0"/>
              <w:right w:val="single" w:color="auto" w:sz="4" w:space="0"/>
            </w:tcBorders>
            <w:vAlign w:val="center"/>
          </w:tcPr>
          <w:p w14:paraId="7379D2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center"/>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3</w:t>
            </w:r>
          </w:p>
        </w:tc>
        <w:tc>
          <w:tcPr>
            <w:tcW w:w="1922" w:type="dxa"/>
            <w:tcBorders>
              <w:left w:val="single" w:color="auto" w:sz="4" w:space="0"/>
              <w:right w:val="single" w:color="auto" w:sz="4" w:space="0"/>
            </w:tcBorders>
            <w:vAlign w:val="center"/>
          </w:tcPr>
          <w:p w14:paraId="5E6D62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ascii="Times New Roman" w:hAnsi="Times New Roman" w:eastAsia="楷体" w:cs="Times New Roman"/>
                <w:sz w:val="22"/>
                <w:szCs w:val="22"/>
                <w:highlight w:val="none"/>
              </w:rPr>
              <w:t>【</w:t>
            </w:r>
            <w:r>
              <w:rPr>
                <w:rFonts w:hint="eastAsia" w:ascii="仿宋_GB2312" w:hAnsi="Calibri" w:eastAsia="仿宋_GB2312" w:cs="宋体"/>
                <w:strike w:val="0"/>
                <w:dstrike w:val="0"/>
                <w:color w:val="auto"/>
                <w:kern w:val="2"/>
                <w:sz w:val="22"/>
                <w:szCs w:val="22"/>
                <w:highlight w:val="lightGray"/>
                <w:u w:val="none"/>
                <w:lang w:val="en-US" w:eastAsia="zh-CN" w:bidi="ar-SA"/>
              </w:rPr>
              <w:t>对建设项目需要配套的环保设施未经验收正式投入生产或使用</w:t>
            </w:r>
            <w:r>
              <w:rPr>
                <w:rFonts w:hint="eastAsia" w:ascii="仿宋_GB2312" w:hAnsi="Calibri" w:cs="宋体"/>
                <w:strike w:val="0"/>
                <w:dstrike w:val="0"/>
                <w:color w:val="auto"/>
                <w:kern w:val="2"/>
                <w:sz w:val="22"/>
                <w:szCs w:val="22"/>
                <w:highlight w:val="lightGray"/>
                <w:u w:val="none"/>
                <w:lang w:val="en-US" w:eastAsia="zh-CN" w:bidi="ar-SA"/>
              </w:rPr>
              <w:t>的处罚</w:t>
            </w:r>
            <w:r>
              <w:rPr>
                <w:rFonts w:ascii="Times New Roman" w:hAnsi="Times New Roman" w:eastAsia="楷体" w:cs="Times New Roman"/>
                <w:sz w:val="22"/>
                <w:szCs w:val="22"/>
              </w:rPr>
              <w:t>】</w:t>
            </w:r>
            <w:r>
              <w:rPr>
                <w:rFonts w:hint="eastAsia" w:ascii="仿宋_GB2312" w:hAnsi="Calibri" w:eastAsia="仿宋_GB2312" w:cs="宋体"/>
                <w:strike w:val="0"/>
                <w:dstrike w:val="0"/>
                <w:color w:val="auto"/>
                <w:kern w:val="2"/>
                <w:sz w:val="22"/>
                <w:szCs w:val="22"/>
                <w:highlight w:val="yellow"/>
                <w:u w:val="none"/>
                <w:lang w:val="en-US" w:eastAsia="zh-CN" w:bidi="ar-SA"/>
              </w:rPr>
              <w:t>对生态环境保护设施未建成、未达到规定要求即投入生产、使用的处罚</w:t>
            </w:r>
          </w:p>
        </w:tc>
        <w:tc>
          <w:tcPr>
            <w:tcW w:w="3227" w:type="dxa"/>
            <w:tcBorders>
              <w:top w:val="single" w:color="auto" w:sz="4" w:space="0"/>
              <w:left w:val="single" w:color="auto" w:sz="4" w:space="0"/>
              <w:bottom w:val="single" w:color="auto" w:sz="4" w:space="0"/>
              <w:right w:val="single" w:color="auto" w:sz="4" w:space="0"/>
            </w:tcBorders>
            <w:vAlign w:val="center"/>
          </w:tcPr>
          <w:p w14:paraId="42EDBA6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初次违法，建设项目环境影响报告书或报告表已经批准同意，项目运行期间环境保护设施已按环评批复要求建成，期间未发现有超标或者不正常运行防治污染设施等逃避监管的方式违法排放污染物的行为，直接负责的主管人员或其他责任人员配合调查，</w:t>
            </w:r>
            <w:r>
              <w:rPr>
                <w:rFonts w:hint="eastAsia" w:ascii="仿宋_GB2312" w:cs="宋体"/>
                <w:color w:val="auto"/>
                <w:sz w:val="22"/>
                <w:szCs w:val="22"/>
                <w:highlight w:val="yellow"/>
                <w:u w:val="none"/>
                <w:shd w:val="clear" w:color="auto" w:fill="auto"/>
                <w:lang w:val="en-US" w:eastAsia="zh-CN" w:bidi="ar-SA"/>
              </w:rPr>
              <w:t>生态</w:t>
            </w:r>
            <w:r>
              <w:rPr>
                <w:rFonts w:hint="eastAsia" w:ascii="仿宋_GB2312" w:eastAsia="仿宋_GB2312" w:cs="宋体"/>
                <w:color w:val="auto"/>
                <w:sz w:val="22"/>
                <w:szCs w:val="22"/>
                <w:highlight w:val="none"/>
                <w:u w:val="none"/>
                <w:lang w:val="en-US" w:eastAsia="zh-CN" w:bidi="ar-SA"/>
              </w:rPr>
              <w:t>环境保护设施虽未在责令改正期限内完成验收</w:t>
            </w:r>
            <w:r>
              <w:rPr>
                <w:rFonts w:hint="eastAsia" w:ascii="仿宋_GB2312" w:eastAsia="仿宋_GB2312" w:cs="宋体"/>
                <w:color w:val="auto"/>
                <w:sz w:val="22"/>
                <w:szCs w:val="22"/>
                <w:u w:val="none"/>
                <w:lang w:val="en-US" w:eastAsia="zh-CN" w:bidi="ar-SA"/>
              </w:rPr>
              <w:t>，但建设单位在责令改正决定书下达前主动停止生产。</w:t>
            </w:r>
          </w:p>
        </w:tc>
        <w:tc>
          <w:tcPr>
            <w:tcW w:w="4131" w:type="dxa"/>
            <w:tcBorders>
              <w:left w:val="single" w:color="auto" w:sz="4" w:space="0"/>
              <w:right w:val="single" w:color="auto" w:sz="4" w:space="0"/>
            </w:tcBorders>
            <w:vAlign w:val="center"/>
          </w:tcPr>
          <w:p w14:paraId="1C0C589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p>
          <w:p w14:paraId="682301D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hint="eastAsia"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第一百六十二条　建设项目中的污染防治设施，应当与主体工程同时设计、同时施工、同时投产使用。污染防治设施应当符合经批准的生态环境影响报告书、生态环境影响报告表的要求，不得擅自拆除或者闲置。</w:t>
            </w:r>
          </w:p>
          <w:p w14:paraId="51D782E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40" w:firstLineChars="200"/>
              <w:textAlignment w:val="center"/>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建设项目在投入生产或者使用前，建设单位应当按照国家规定，对配套建设的污染防治设施进行验收。</w:t>
            </w:r>
          </w:p>
          <w:p w14:paraId="066029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r>
              <w:rPr>
                <w:rFonts w:hint="eastAsia" w:ascii="仿宋_GB2312" w:cs="宋体"/>
                <w:strike w:val="0"/>
                <w:dstrike w:val="0"/>
                <w:color w:val="auto"/>
                <w:sz w:val="22"/>
                <w:szCs w:val="22"/>
                <w:highlight w:val="yellow"/>
                <w:u w:val="none"/>
                <w:lang w:val="en-US" w:eastAsia="zh-CN" w:bidi="ar-SA"/>
              </w:rPr>
              <w:t xml:space="preserve"> </w:t>
            </w:r>
            <w:r>
              <w:rPr>
                <w:rFonts w:hint="eastAsia" w:ascii="仿宋_GB2312" w:cs="宋体"/>
                <w:strike w:val="0"/>
                <w:dstrike w:val="0"/>
                <w:color w:val="auto"/>
                <w:sz w:val="22"/>
                <w:szCs w:val="22"/>
                <w:highlight w:val="yellow"/>
                <w:u w:val="none"/>
                <w:lang w:val="en-US" w:eastAsia="zh-CN" w:bidi="ar-SA"/>
              </w:rPr>
              <w:br w:type="textWrapping"/>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《建设项目环境保护管理条例》（国务院令第682号）</w:t>
            </w:r>
          </w:p>
          <w:p w14:paraId="655F39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eastAsia="仿宋_GB2312" w:cs="宋体"/>
                <w:color w:val="auto"/>
                <w:sz w:val="22"/>
                <w:szCs w:val="22"/>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第二十三条 第一款  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ascii="Times New Roman" w:hAnsi="Times New Roman" w:eastAsia="楷体" w:cs="Times New Roman"/>
                <w:strike w:val="0"/>
                <w:dstrike w:val="0"/>
                <w:color w:val="auto"/>
                <w:sz w:val="22"/>
                <w:szCs w:val="22"/>
                <w:highlight w:val="lightGray"/>
              </w:rPr>
              <w:t>】</w:t>
            </w:r>
          </w:p>
        </w:tc>
        <w:tc>
          <w:tcPr>
            <w:tcW w:w="4574" w:type="dxa"/>
            <w:tcBorders>
              <w:left w:val="single" w:color="auto" w:sz="4" w:space="0"/>
              <w:right w:val="single" w:color="auto" w:sz="4" w:space="0"/>
            </w:tcBorders>
            <w:vAlign w:val="center"/>
          </w:tcPr>
          <w:p w14:paraId="4CED27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880" w:firstLineChars="400"/>
              <w:jc w:val="both"/>
              <w:textAlignment w:val="auto"/>
              <w:rPr>
                <w:rFonts w:hint="eastAsia" w:ascii="仿宋_GB2312" w:eastAsia="仿宋_GB2312" w:cs="宋体"/>
                <w:color w:val="auto"/>
                <w:sz w:val="22"/>
                <w:szCs w:val="22"/>
                <w:u w:val="none"/>
                <w:lang w:val="en-US" w:eastAsia="zh-CN" w:bidi="ar-SA"/>
              </w:rPr>
            </w:pPr>
          </w:p>
        </w:tc>
      </w:tr>
      <w:tr w14:paraId="2D05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0" w:hRule="atLeast"/>
          <w:jc w:val="center"/>
        </w:trPr>
        <w:tc>
          <w:tcPr>
            <w:tcW w:w="748" w:type="dxa"/>
            <w:tcBorders>
              <w:left w:val="single" w:color="auto" w:sz="4" w:space="0"/>
              <w:right w:val="single" w:color="auto" w:sz="4" w:space="0"/>
            </w:tcBorders>
            <w:vAlign w:val="center"/>
          </w:tcPr>
          <w:p w14:paraId="2DCEA43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4</w:t>
            </w:r>
          </w:p>
        </w:tc>
        <w:tc>
          <w:tcPr>
            <w:tcW w:w="1922" w:type="dxa"/>
            <w:tcBorders>
              <w:left w:val="single" w:color="auto" w:sz="4" w:space="0"/>
              <w:right w:val="single" w:color="auto" w:sz="4" w:space="0"/>
            </w:tcBorders>
            <w:vAlign w:val="center"/>
          </w:tcPr>
          <w:p w14:paraId="0AA2BA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对超过污染物排放标准或者超过重点污染物排放总量控制指标排放污染物的处罚</w:t>
            </w:r>
            <w:r>
              <w:rPr>
                <w:rFonts w:ascii="Times New Roman" w:hAnsi="Times New Roman" w:eastAsia="楷体" w:cs="Times New Roman"/>
                <w:strike w:val="0"/>
                <w:dstrike w:val="0"/>
                <w:color w:val="auto"/>
                <w:sz w:val="22"/>
                <w:szCs w:val="22"/>
                <w:highlight w:val="none"/>
              </w:rPr>
              <w:t>】</w:t>
            </w:r>
            <w:r>
              <w:rPr>
                <w:rFonts w:hint="eastAsia" w:ascii="仿宋_GB2312" w:cs="宋体"/>
                <w:b w:val="0"/>
                <w:color w:val="auto"/>
                <w:kern w:val="0"/>
                <w:sz w:val="22"/>
                <w:szCs w:val="22"/>
                <w:highlight w:val="yellow"/>
                <w:u w:val="none"/>
                <w:lang w:val="en-US" w:eastAsia="zh-CN"/>
              </w:rPr>
              <w:t>对超过排污许可证载明的许可排放限值或者</w:t>
            </w:r>
            <w:r>
              <w:rPr>
                <w:rFonts w:hint="eastAsia" w:ascii="仿宋_GB2312" w:eastAsia="仿宋_GB2312" w:cs="宋体"/>
                <w:b w:val="0"/>
                <w:color w:val="auto"/>
                <w:kern w:val="0"/>
                <w:sz w:val="22"/>
                <w:szCs w:val="22"/>
                <w:highlight w:val="yellow"/>
                <w:u w:val="none"/>
              </w:rPr>
              <w:t>超过污染物排放标准排放污染物的处罚</w:t>
            </w:r>
          </w:p>
        </w:tc>
        <w:tc>
          <w:tcPr>
            <w:tcW w:w="3227" w:type="dxa"/>
            <w:tcBorders>
              <w:top w:val="single" w:color="auto" w:sz="4" w:space="0"/>
              <w:left w:val="single" w:color="auto" w:sz="4" w:space="0"/>
              <w:bottom w:val="single" w:color="auto" w:sz="4" w:space="0"/>
              <w:right w:val="single" w:color="auto" w:sz="4" w:space="0"/>
            </w:tcBorders>
            <w:vAlign w:val="center"/>
          </w:tcPr>
          <w:p w14:paraId="042174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（1）当事人具有下列情形之一的，应当从轻处罚：</w:t>
            </w:r>
            <w:r>
              <w:rPr>
                <w:rFonts w:ascii="Times New Roman" w:hAnsi="Times New Roman" w:eastAsia="楷体" w:cs="Times New Roman"/>
                <w:strike w:val="0"/>
                <w:dstrike w:val="0"/>
                <w:color w:val="auto"/>
                <w:sz w:val="22"/>
                <w:szCs w:val="22"/>
                <w:highlight w:val="none"/>
              </w:rPr>
              <w:t>】</w:t>
            </w:r>
          </w:p>
          <w:p w14:paraId="3B2C42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在调试阶段，因污染物处理工艺调试等原因所产生的水污染物不可避免超标或者超总量的，排污单位采取将所产生的污染物存放于应急储存设施或者其他临时储存设施等应急措施后，已提前向生态环境部门书面报告，仍超标排放污染物的；</w:t>
            </w:r>
          </w:p>
          <w:p w14:paraId="34AA9C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2.污染防治设施因突发故障需要停止使用，但因生产工艺或安全生产、民生保障等原因，生产设施无法实现停运或者污染防治设施恢复使用之前确需排放污染物，在故障发生后的24小时内向生态环境主管部门报告，并及时抢修，排除故障，仍超标排放污染物的；</w:t>
            </w:r>
          </w:p>
          <w:p w14:paraId="20A772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3.生产设施连续不可中断运行，已向生态环境部门上报年度检修计划，并采取必要的减排措施，在检修时超标排放污染物的；</w:t>
            </w:r>
          </w:p>
          <w:p w14:paraId="0C552A4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color w:val="auto"/>
                <w:sz w:val="22"/>
                <w:szCs w:val="22"/>
                <w:u w:val="none"/>
                <w:lang w:val="en-US" w:eastAsia="zh-CN" w:bidi="ar-SA"/>
              </w:rPr>
              <w:t>4.城镇生活污水处理厂因进水浓度超标导致的出水超标，发现后立即主动报告并采取措施减轻危害后果的</w:t>
            </w:r>
            <w:r>
              <w:rPr>
                <w:rFonts w:hint="eastAsia" w:ascii="仿宋_GB2312" w:cs="宋体"/>
                <w:color w:val="auto"/>
                <w:sz w:val="22"/>
                <w:szCs w:val="22"/>
                <w:u w:val="none"/>
                <w:lang w:val="en-US" w:eastAsia="zh-CN" w:bidi="ar-SA"/>
              </w:rPr>
              <w:t>。</w:t>
            </w:r>
            <w:r>
              <w:rPr>
                <w:rFonts w:hint="eastAsia" w:ascii="仿宋_GB2312" w:eastAsia="仿宋_GB2312" w:cs="宋体"/>
                <w:color w:val="auto"/>
                <w:sz w:val="22"/>
                <w:szCs w:val="22"/>
                <w:u w:val="none"/>
                <w:lang w:val="en-US" w:eastAsia="zh-CN" w:bidi="ar-SA"/>
              </w:rPr>
              <w:br w:type="textWrapping"/>
            </w:r>
            <w:r>
              <w:rPr>
                <w:rFonts w:hint="eastAsia" w:ascii="仿宋_GB2312" w:cs="宋体"/>
                <w:color w:val="auto"/>
                <w:sz w:val="22"/>
                <w:szCs w:val="22"/>
                <w:u w:val="none"/>
                <w:lang w:val="en-US" w:eastAsia="zh-CN" w:bidi="ar-SA"/>
              </w:rPr>
              <w:t xml:space="preserve">   </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（2）具备下列情形之一的排污者，超过污染物排放标准或者超过重点污染物排放总量控制指标排放污染物的，不予实施停产整治：</w:t>
            </w:r>
          </w:p>
          <w:p w14:paraId="456A317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1.城镇污水处理、垃圾处理、危险废物处置等公共设施的运营单位；</w:t>
            </w:r>
          </w:p>
          <w:p w14:paraId="3F85F37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2.生产经营业务涉及基本民生、公共利益的；</w:t>
            </w:r>
          </w:p>
          <w:p w14:paraId="24544D4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3.实施停产整治可能影响生产安全的。</w:t>
            </w:r>
            <w:r>
              <w:rPr>
                <w:rFonts w:ascii="Times New Roman" w:hAnsi="Times New Roman" w:eastAsia="楷体" w:cs="Times New Roman"/>
                <w:strike w:val="0"/>
                <w:dstrike w:val="0"/>
                <w:color w:val="auto"/>
                <w:sz w:val="22"/>
                <w:szCs w:val="22"/>
                <w:highlight w:val="none"/>
              </w:rPr>
              <w:t>】</w:t>
            </w:r>
          </w:p>
        </w:tc>
        <w:tc>
          <w:tcPr>
            <w:tcW w:w="4131" w:type="dxa"/>
            <w:tcBorders>
              <w:left w:val="single" w:color="auto" w:sz="4" w:space="0"/>
              <w:right w:val="single" w:color="auto" w:sz="4" w:space="0"/>
            </w:tcBorders>
            <w:vAlign w:val="center"/>
          </w:tcPr>
          <w:p w14:paraId="22309E3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《中华人民共和国生态环境法典》（自2026年8月15日起施行）</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yellow"/>
                <w:u w:val="none"/>
                <w:lang w:val="en-US" w:eastAsia="zh-CN" w:bidi="ar-SA"/>
              </w:rPr>
              <w:t xml:space="preserve">    </w:t>
            </w: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0828055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r>
              <w:rPr>
                <w:rFonts w:hint="eastAsia" w:ascii="仿宋_GB2312" w:hAnsi="Calibri" w:eastAsia="仿宋_GB2312" w:cs="宋体"/>
                <w:strike w:val="0"/>
                <w:dstrike w:val="0"/>
                <w:color w:val="auto"/>
                <w:kern w:val="2"/>
                <w:sz w:val="22"/>
                <w:szCs w:val="22"/>
                <w:highlight w:val="yellow"/>
                <w:u w:val="none"/>
                <w:lang w:val="en-US" w:eastAsia="zh-CN" w:bidi="ar-SA"/>
              </w:rPr>
              <w:br w:type="textWrapping"/>
            </w:r>
            <w:r>
              <w:rPr>
                <w:rFonts w:hint="eastAsia" w:ascii="仿宋_GB2312" w:hAnsi="Calibri" w:cs="宋体"/>
                <w:strike w:val="0"/>
                <w:dstrike w:val="0"/>
                <w:color w:val="auto"/>
                <w:kern w:val="2"/>
                <w:sz w:val="22"/>
                <w:szCs w:val="22"/>
                <w:highlight w:val="none"/>
                <w:u w:val="none"/>
                <w:lang w:val="en-US" w:eastAsia="zh-CN" w:bidi="ar-SA"/>
              </w:rPr>
              <w:t xml:space="preserve">   </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1.《中华人民共和国大气污染防治法》（2018年修订）</w:t>
            </w:r>
          </w:p>
          <w:p w14:paraId="3D9CE32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p w14:paraId="2A1EB3E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第九十九条 第三项  违反本法规定，有下列行为之一的，由县级以上人民政府生态环境主管部门责令改正或者限制生产、停产整治，并处十万元以上一百万元以下的罚款；情节严重的，报经有批准权的人民政府批准，责令停业、关闭：</w:t>
            </w:r>
          </w:p>
          <w:p w14:paraId="0E90A4B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 xml:space="preserve">超过大气污染物排放标准或者超过重点大气污染物排放总量控制指标排放大气污染物的。 </w:t>
            </w:r>
          </w:p>
          <w:p w14:paraId="140847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2.《中华人民共和国水污染防治法》（2017年修订）</w:t>
            </w:r>
          </w:p>
          <w:p w14:paraId="0CB5053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第十条  排放水污染物，不得超过国家或者地方规定的水污染物排放标准和重点水污染物排放总量控制指标。</w:t>
            </w:r>
          </w:p>
          <w:p w14:paraId="0721A78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第八十三条 第二项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78CB8D6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（二）超过水污染物排放标准或者超过重点水污染物排放总量控制指标排放水污染物的。</w:t>
            </w:r>
          </w:p>
          <w:p w14:paraId="6EF5306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3.《中华人民共和国环境噪声污染防治法》（2018年修订）</w:t>
            </w:r>
          </w:p>
          <w:p w14:paraId="6B53D46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第十七条  对于在噪声敏感建筑物集中区域内造成严重环境噪声污染的企业事业单位，限期治理。</w:t>
            </w:r>
          </w:p>
          <w:p w14:paraId="4CCF6EA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被限期治理的单位必须按期完成治理任务。限期治理由县级以上人民政府按照国务院规定的权限决定。</w:t>
            </w:r>
          </w:p>
          <w:p w14:paraId="5EC7D85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对小型企业事业单位的限期治理，可以由县级以上人民政府在国务院规定的权限内授权其生态环境主管部门决定。</w:t>
            </w:r>
          </w:p>
          <w:p w14:paraId="14DFDD3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第五十二条　违反本法第十七条的规定，对经限期治理逾期未完成治理任务的企业事业单位，除依照国家规定加收超标准排污费外，可以根据所造成的危害后果处以罚款，或者责令停业、搬迁、关闭。</w:t>
            </w:r>
          </w:p>
          <w:p w14:paraId="284D5F3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前款规定的罚款由生态环境主管部门决定。责令停业、搬迁、关闭由县级以上人民政府按照国务院规定的权限决定。</w:t>
            </w:r>
          </w:p>
          <w:p w14:paraId="5D159EF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4.《排污许可管理条例》（国务院令（第736号）</w:t>
            </w:r>
          </w:p>
          <w:p w14:paraId="3F01CD0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eastAsia="仿宋_GB2312" w:cs="宋体"/>
                <w:color w:val="auto"/>
                <w:sz w:val="22"/>
                <w:szCs w:val="22"/>
                <w:u w:val="none"/>
                <w:lang w:val="en-US" w:eastAsia="zh-CN" w:bidi="ar-SA"/>
              </w:rPr>
            </w:pPr>
            <w:r>
              <w:rPr>
                <w:rFonts w:hint="eastAsia" w:ascii="仿宋_GB2312" w:eastAsia="仿宋_GB2312" w:cs="宋体"/>
                <w:strike w:val="0"/>
                <w:dstrike w:val="0"/>
                <w:color w:val="auto"/>
                <w:sz w:val="22"/>
                <w:szCs w:val="22"/>
                <w:highlight w:val="lightGray"/>
                <w:u w:val="none"/>
                <w:lang w:val="en-US" w:eastAsia="zh-CN" w:bidi="ar-SA"/>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r>
              <w:rPr>
                <w:rFonts w:hint="eastAsia" w:ascii="仿宋_GB2312" w:eastAsia="仿宋_GB2312" w:cs="宋体"/>
                <w:strike w:val="0"/>
                <w:dstrike w:val="0"/>
                <w:color w:val="auto"/>
                <w:sz w:val="22"/>
                <w:szCs w:val="22"/>
                <w:highlight w:val="lightGray"/>
                <w:u w:val="none"/>
                <w:lang w:val="en-US" w:eastAsia="zh-CN" w:bidi="ar-SA"/>
              </w:rPr>
              <w:br w:type="textWrapping"/>
            </w:r>
            <w:r>
              <w:rPr>
                <w:rFonts w:hint="eastAsia" w:ascii="仿宋_GB2312" w:cs="宋体"/>
                <w:strike w:val="0"/>
                <w:dstrike w:val="0"/>
                <w:color w:val="auto"/>
                <w:sz w:val="22"/>
                <w:szCs w:val="22"/>
                <w:highlight w:val="lightGray"/>
                <w:u w:val="none"/>
                <w:lang w:val="en-US" w:eastAsia="zh-CN" w:bidi="ar-SA"/>
              </w:rPr>
              <w:t xml:space="preserve">   </w:t>
            </w:r>
            <w:r>
              <w:rPr>
                <w:rFonts w:hint="eastAsia" w:ascii="仿宋_GB2312" w:eastAsia="仿宋_GB2312" w:cs="宋体"/>
                <w:strike w:val="0"/>
                <w:dstrike w:val="0"/>
                <w:color w:val="auto"/>
                <w:sz w:val="22"/>
                <w:szCs w:val="22"/>
                <w:highlight w:val="lightGray"/>
                <w:u w:val="none"/>
                <w:lang w:val="en-US" w:eastAsia="zh-CN" w:bidi="ar-SA"/>
              </w:rPr>
              <w:t>（一）超过许可排放浓度、许可排放量排放污染物。</w:t>
            </w:r>
            <w:r>
              <w:rPr>
                <w:rFonts w:ascii="Times New Roman" w:hAnsi="Times New Roman" w:eastAsia="楷体" w:cs="Times New Roman"/>
                <w:strike w:val="0"/>
                <w:dstrike w:val="0"/>
                <w:color w:val="auto"/>
                <w:sz w:val="22"/>
                <w:szCs w:val="22"/>
                <w:highlight w:val="none"/>
              </w:rPr>
              <w:t>】</w:t>
            </w:r>
            <w:r>
              <w:rPr>
                <w:rFonts w:hint="eastAsia" w:ascii="仿宋_GB2312" w:eastAsia="仿宋_GB2312" w:cs="宋体"/>
                <w:strike/>
                <w:dstrike w:val="0"/>
                <w:color w:val="auto"/>
                <w:sz w:val="22"/>
                <w:szCs w:val="22"/>
                <w:highlight w:val="lightGray"/>
                <w:u w:val="none"/>
                <w:lang w:val="en-US" w:eastAsia="zh-CN" w:bidi="ar-SA"/>
              </w:rPr>
              <w:br w:type="textWrapping"/>
            </w:r>
          </w:p>
        </w:tc>
        <w:tc>
          <w:tcPr>
            <w:tcW w:w="4574" w:type="dxa"/>
            <w:tcBorders>
              <w:left w:val="single" w:color="auto" w:sz="4" w:space="0"/>
              <w:right w:val="single" w:color="auto" w:sz="4" w:space="0"/>
            </w:tcBorders>
            <w:vAlign w:val="center"/>
          </w:tcPr>
          <w:p w14:paraId="42BE381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排放大气污染物除有毒有害物质、放射性物质、重金属、持久性有机污染物、恶臭、机动车和非道路移动机械排放污染物之外；2.排放水污染物除第一类污染物、有毒有害物质、放射性物质、重金属、持久性有机污染物之外。</w:t>
            </w:r>
          </w:p>
        </w:tc>
      </w:tr>
      <w:tr w14:paraId="3375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748" w:type="dxa"/>
            <w:tcBorders>
              <w:left w:val="single" w:color="auto" w:sz="4" w:space="0"/>
              <w:bottom w:val="single" w:color="auto" w:sz="4" w:space="0"/>
              <w:right w:val="single" w:color="auto" w:sz="4" w:space="0"/>
            </w:tcBorders>
            <w:vAlign w:val="center"/>
          </w:tcPr>
          <w:p w14:paraId="2A683D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5</w:t>
            </w:r>
          </w:p>
        </w:tc>
        <w:tc>
          <w:tcPr>
            <w:tcW w:w="1922" w:type="dxa"/>
            <w:tcBorders>
              <w:left w:val="single" w:color="auto" w:sz="4" w:space="0"/>
              <w:bottom w:val="single" w:color="auto" w:sz="4" w:space="0"/>
              <w:right w:val="single" w:color="auto" w:sz="4" w:space="0"/>
            </w:tcBorders>
            <w:vAlign w:val="center"/>
          </w:tcPr>
          <w:p w14:paraId="70FAEC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对未</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规范</w:t>
            </w:r>
            <w:r>
              <w:rPr>
                <w:rFonts w:ascii="Times New Roman" w:hAnsi="Times New Roman" w:eastAsia="楷体" w:cs="Times New Roman"/>
                <w:strike w:val="0"/>
                <w:dstrike w:val="0"/>
                <w:color w:val="auto"/>
                <w:sz w:val="22"/>
                <w:szCs w:val="22"/>
                <w:highlight w:val="none"/>
              </w:rPr>
              <w:t>】</w:t>
            </w:r>
            <w:r>
              <w:rPr>
                <w:rFonts w:hint="eastAsia" w:ascii="仿宋_GB2312" w:eastAsia="仿宋_GB2312" w:cs="宋体"/>
                <w:color w:val="auto"/>
                <w:sz w:val="22"/>
                <w:szCs w:val="22"/>
                <w:u w:val="none"/>
                <w:lang w:val="en-US" w:eastAsia="zh-CN" w:bidi="ar-SA"/>
              </w:rPr>
              <w:t>填写、运行危险废物转移联单的处罚</w:t>
            </w:r>
          </w:p>
        </w:tc>
        <w:tc>
          <w:tcPr>
            <w:tcW w:w="3227" w:type="dxa"/>
            <w:tcBorders>
              <w:top w:val="single" w:color="auto" w:sz="4" w:space="0"/>
              <w:left w:val="single" w:color="auto" w:sz="4" w:space="0"/>
              <w:bottom w:val="single" w:color="auto" w:sz="4" w:space="0"/>
              <w:right w:val="single" w:color="auto" w:sz="4" w:space="0"/>
            </w:tcBorders>
            <w:vAlign w:val="center"/>
          </w:tcPr>
          <w:p w14:paraId="6D5825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违法行为持续时间不超过3个月，主动减轻环境污染后果，并在5个工作日内改正的（记录弄虚作假的除外）。</w:t>
            </w:r>
          </w:p>
        </w:tc>
        <w:tc>
          <w:tcPr>
            <w:tcW w:w="4131" w:type="dxa"/>
            <w:tcBorders>
              <w:left w:val="single" w:color="auto" w:sz="4" w:space="0"/>
              <w:bottom w:val="single" w:color="auto" w:sz="4" w:space="0"/>
              <w:right w:val="single" w:color="auto" w:sz="4" w:space="0"/>
            </w:tcBorders>
            <w:vAlign w:val="center"/>
          </w:tcPr>
          <w:p w14:paraId="0F69DC0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1.《中华人民共和国生态环境法典》（自2026年8月15日起施行）</w:t>
            </w:r>
          </w:p>
          <w:p w14:paraId="3535DA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第一千一百七十五条　违反本法规定，有下列情形之一的，由生态环境主管部门责令改正，没收违法所得，并处以罚款；情节严重的，报经有批准权的人民政府批准，责令停业、关闭：</w:t>
            </w:r>
          </w:p>
          <w:p w14:paraId="2A2CEC9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w:t>
            </w:r>
          </w:p>
          <w:p w14:paraId="365B17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（七）未填写、运行危险废物转移联单；</w:t>
            </w:r>
          </w:p>
          <w:p w14:paraId="3DF9E0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w:t>
            </w:r>
          </w:p>
          <w:p w14:paraId="7D43FE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0B037E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u w:val="none"/>
                <w:lang w:val="en-US" w:eastAsia="zh-CN" w:bidi="ar-SA"/>
              </w:rPr>
              <w:t>《危险废物转移管理办法》（生态环境部、公安部、交通运输部令第23号）</w:t>
            </w:r>
          </w:p>
          <w:p w14:paraId="7B6BFE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第二十九条 第三款  违反本办法规定，未规范填写、运行危险废物转移联单，及时改正，且没有造成危害后果的，依法不予行政处罚；主动消除或者减轻危害后果的，生态环境主管部门可以依法从轻或者减轻行政处罚。</w:t>
            </w:r>
            <w:r>
              <w:rPr>
                <w:rFonts w:hint="eastAsia" w:ascii="仿宋_GB2312" w:cs="宋体"/>
                <w:color w:val="auto"/>
                <w:sz w:val="22"/>
                <w:szCs w:val="22"/>
                <w:u w:val="none"/>
                <w:lang w:val="en-US" w:eastAsia="zh-CN" w:bidi="ar-SA"/>
              </w:rPr>
              <w:t xml:space="preserve"> </w:t>
            </w:r>
          </w:p>
        </w:tc>
        <w:tc>
          <w:tcPr>
            <w:tcW w:w="4574" w:type="dxa"/>
            <w:tcBorders>
              <w:left w:val="single" w:color="auto" w:sz="4" w:space="0"/>
              <w:bottom w:val="single" w:color="auto" w:sz="4" w:space="0"/>
              <w:right w:val="single" w:color="auto" w:sz="4" w:space="0"/>
            </w:tcBorders>
            <w:vAlign w:val="center"/>
          </w:tcPr>
          <w:p w14:paraId="33C0B8B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p>
        </w:tc>
      </w:tr>
    </w:tbl>
    <w:p w14:paraId="2CF63DF1">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400" w:lineRule="exact"/>
        <w:ind w:left="0" w:firstLine="480" w:firstLineChars="200"/>
        <w:textAlignment w:val="baseline"/>
        <w:rPr>
          <w:rFonts w:hint="eastAsia" w:ascii="仿宋_GB2312" w:hAnsi="Times New Roman" w:eastAsia="仿宋_GB2312" w:cs="宋体"/>
          <w:color w:val="auto"/>
          <w:kern w:val="2"/>
          <w:sz w:val="22"/>
          <w:szCs w:val="22"/>
          <w:u w:val="none"/>
          <w:lang w:val="en-US" w:eastAsia="zh-CN" w:bidi="ar-SA"/>
        </w:rPr>
      </w:pPr>
      <w:r>
        <w:rPr>
          <w:rFonts w:hint="eastAsia" w:ascii="宋体" w:hAnsi="宋体" w:cs="宋体"/>
          <w:b/>
          <w:bCs/>
          <w:color w:val="000000"/>
          <w:kern w:val="0"/>
          <w:sz w:val="24"/>
          <w:szCs w:val="24"/>
          <w:highlight w:val="none"/>
          <w:u w:val="none"/>
          <w:lang w:val="en-US" w:eastAsia="zh-CN"/>
        </w:rPr>
        <w:t>备注：</w:t>
      </w:r>
      <w:r>
        <w:rPr>
          <w:rFonts w:hint="eastAsia" w:ascii="仿宋_GB2312" w:hAnsi="Times New Roman" w:eastAsia="仿宋_GB2312" w:cs="宋体"/>
          <w:color w:val="auto"/>
          <w:kern w:val="2"/>
          <w:sz w:val="22"/>
          <w:szCs w:val="22"/>
          <w:u w:val="none"/>
          <w:lang w:val="en-US" w:eastAsia="zh-CN" w:bidi="ar-SA"/>
        </w:rPr>
        <w:t>1.根据《福建省生态环境行政处罚裁量规则》第九条第三款，对符合规定的从轻处罚，应当在裁量基准明确的拟处罚金额基础上减少一定的罚款金额，减少的罚款数额一般不超法定罚款幅度（即法定最高罚款数额与法定最低罚款数额之差）的20%，且减少后的最终罚款金额不得低于法定最低罚款数额。2.未列入本清单的事项，符合《中华人民共和国行政处罚法》第三十条、第三十二条规定应当从轻处罚情形的，也应当给予从轻处罚；符合《中华人民共和国行政处罚法》第三十一条规定可以从轻处罚情形的，也可以给予从轻处罚。</w:t>
      </w:r>
    </w:p>
    <w:p w14:paraId="3C81B4B0">
      <w:pPr>
        <w:keepNext w:val="0"/>
        <w:keepLines w:val="0"/>
        <w:pageBreakBefore w:val="0"/>
        <w:widowControl w:val="0"/>
        <w:kinsoku/>
        <w:topLinePunct w:val="0"/>
        <w:bidi w:val="0"/>
        <w:snapToGrid/>
        <w:spacing w:beforeAutospacing="0" w:afterAutospacing="0"/>
        <w:jc w:val="center"/>
        <w:rPr>
          <w:rFonts w:hint="eastAsia" w:eastAsia="方正小标宋简体"/>
          <w:sz w:val="21"/>
          <w:u w:val="none"/>
          <w:lang w:eastAsia="zh-CN"/>
        </w:rPr>
      </w:pPr>
      <w:r>
        <w:rPr>
          <w:rFonts w:hint="eastAsia" w:ascii="方正小标宋简体" w:hAnsi="仿宋" w:eastAsia="方正小标宋简体" w:cs="仿宋"/>
          <w:color w:val="auto"/>
          <w:sz w:val="44"/>
          <w:szCs w:val="44"/>
          <w:u w:val="none"/>
          <w:lang w:val="en-US" w:eastAsia="zh-CN" w:bidi="ar-SA"/>
        </w:rPr>
        <w:t>减轻</w:t>
      </w:r>
      <w:r>
        <w:rPr>
          <w:rFonts w:hint="eastAsia" w:ascii="方正小标宋简体" w:hAnsi="仿宋" w:eastAsia="方正小标宋简体" w:cs="仿宋"/>
          <w:color w:val="auto"/>
          <w:sz w:val="44"/>
          <w:szCs w:val="44"/>
          <w:u w:val="none"/>
          <w:lang w:bidi="ar-SA"/>
        </w:rPr>
        <w:t>行政</w:t>
      </w:r>
      <w:r>
        <w:rPr>
          <w:rFonts w:hint="eastAsia" w:ascii="方正小标宋简体" w:hAnsi="仿宋" w:eastAsia="方正小标宋简体" w:cs="仿宋"/>
          <w:color w:val="000000"/>
          <w:sz w:val="44"/>
          <w:szCs w:val="44"/>
          <w:u w:val="none"/>
          <w:lang w:bidi="ar-SA"/>
        </w:rPr>
        <w:t>处罚事项清单</w:t>
      </w:r>
    </w:p>
    <w:tbl>
      <w:tblPr>
        <w:tblStyle w:val="14"/>
        <w:tblW w:w="14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708"/>
        <w:gridCol w:w="3695"/>
        <w:gridCol w:w="3559"/>
        <w:gridCol w:w="4780"/>
      </w:tblGrid>
      <w:tr w14:paraId="4A80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08" w:type="dxa"/>
            <w:tcBorders>
              <w:top w:val="single" w:color="auto" w:sz="4" w:space="0"/>
              <w:left w:val="single" w:color="auto" w:sz="4" w:space="0"/>
              <w:bottom w:val="single" w:color="auto" w:sz="4" w:space="0"/>
              <w:right w:val="single" w:color="auto" w:sz="4" w:space="0"/>
            </w:tcBorders>
            <w:vAlign w:val="center"/>
          </w:tcPr>
          <w:p w14:paraId="5EF6E00C">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序号</w:t>
            </w:r>
          </w:p>
        </w:tc>
        <w:tc>
          <w:tcPr>
            <w:tcW w:w="1708" w:type="dxa"/>
            <w:tcBorders>
              <w:top w:val="single" w:color="auto" w:sz="4" w:space="0"/>
              <w:left w:val="single" w:color="auto" w:sz="4" w:space="0"/>
              <w:bottom w:val="single" w:color="auto" w:sz="4" w:space="0"/>
              <w:right w:val="single" w:color="auto" w:sz="4" w:space="0"/>
            </w:tcBorders>
            <w:vAlign w:val="center"/>
          </w:tcPr>
          <w:p w14:paraId="1C29687D">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行政处罚事项</w:t>
            </w:r>
          </w:p>
        </w:tc>
        <w:tc>
          <w:tcPr>
            <w:tcW w:w="3695" w:type="dxa"/>
            <w:tcBorders>
              <w:top w:val="single" w:color="auto" w:sz="4" w:space="0"/>
              <w:left w:val="single" w:color="auto" w:sz="4" w:space="0"/>
              <w:bottom w:val="single" w:color="auto" w:sz="4" w:space="0"/>
              <w:right w:val="single" w:color="auto" w:sz="4" w:space="0"/>
            </w:tcBorders>
            <w:vAlign w:val="center"/>
          </w:tcPr>
          <w:p w14:paraId="2D038F61">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减轻处罚适用条件</w:t>
            </w:r>
          </w:p>
        </w:tc>
        <w:tc>
          <w:tcPr>
            <w:tcW w:w="3559" w:type="dxa"/>
            <w:tcBorders>
              <w:top w:val="single" w:color="auto" w:sz="4" w:space="0"/>
              <w:left w:val="single" w:color="auto" w:sz="4" w:space="0"/>
              <w:bottom w:val="single" w:color="auto" w:sz="4" w:space="0"/>
              <w:right w:val="single" w:color="auto" w:sz="4" w:space="0"/>
            </w:tcBorders>
            <w:vAlign w:val="center"/>
          </w:tcPr>
          <w:p w14:paraId="305FE95D">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法定依据</w:t>
            </w:r>
          </w:p>
        </w:tc>
        <w:tc>
          <w:tcPr>
            <w:tcW w:w="4780" w:type="dxa"/>
            <w:tcBorders>
              <w:top w:val="single" w:color="auto" w:sz="4" w:space="0"/>
              <w:left w:val="single" w:color="auto" w:sz="4" w:space="0"/>
              <w:bottom w:val="single" w:color="auto" w:sz="4" w:space="0"/>
              <w:right w:val="single" w:color="auto" w:sz="4" w:space="0"/>
            </w:tcBorders>
            <w:vAlign w:val="center"/>
          </w:tcPr>
          <w:p w14:paraId="02D1D2AF">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eastAsia="黑体" w:cs="黑体"/>
                <w:color w:val="auto"/>
                <w:sz w:val="24"/>
                <w:szCs w:val="24"/>
                <w:u w:val="none"/>
                <w:lang w:val="en-US" w:eastAsia="zh-CN" w:bidi="ar-SA"/>
              </w:rPr>
            </w:pPr>
            <w:r>
              <w:rPr>
                <w:rFonts w:hint="eastAsia" w:ascii="黑体" w:eastAsia="黑体" w:cs="黑体"/>
                <w:color w:val="auto"/>
                <w:sz w:val="24"/>
                <w:szCs w:val="24"/>
                <w:u w:val="none"/>
                <w:lang w:val="en-US" w:eastAsia="zh-CN" w:bidi="ar-SA"/>
              </w:rPr>
              <w:t>备注</w:t>
            </w:r>
          </w:p>
        </w:tc>
      </w:tr>
      <w:tr w14:paraId="7464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808" w:type="dxa"/>
            <w:tcBorders>
              <w:top w:val="single" w:color="auto" w:sz="4" w:space="0"/>
              <w:left w:val="single" w:color="auto" w:sz="4" w:space="0"/>
              <w:right w:val="single" w:color="auto" w:sz="4" w:space="0"/>
            </w:tcBorders>
            <w:vAlign w:val="center"/>
          </w:tcPr>
          <w:p w14:paraId="2ABD7F3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w:t>
            </w:r>
          </w:p>
        </w:tc>
        <w:tc>
          <w:tcPr>
            <w:tcW w:w="1708" w:type="dxa"/>
            <w:tcBorders>
              <w:top w:val="single" w:color="auto" w:sz="4" w:space="0"/>
              <w:left w:val="single" w:color="auto" w:sz="4" w:space="0"/>
              <w:right w:val="single" w:color="auto" w:sz="4" w:space="0"/>
            </w:tcBorders>
            <w:vAlign w:val="center"/>
          </w:tcPr>
          <w:p w14:paraId="4337110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对符合生态环境损害赔偿的行政处罚</w:t>
            </w:r>
          </w:p>
        </w:tc>
        <w:tc>
          <w:tcPr>
            <w:tcW w:w="3695" w:type="dxa"/>
            <w:tcBorders>
              <w:top w:val="single" w:color="auto" w:sz="4" w:space="0"/>
              <w:left w:val="single" w:color="auto" w:sz="4" w:space="0"/>
              <w:bottom w:val="single" w:color="auto" w:sz="4" w:space="0"/>
              <w:right w:val="single" w:color="auto" w:sz="4" w:space="0"/>
            </w:tcBorders>
            <w:vAlign w:val="center"/>
          </w:tcPr>
          <w:p w14:paraId="33692E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 xml:space="preserve">当事人已对受损生态环境进行了修复或者对无法修复的进行了替代修复或赔偿，履行了全部生态环境损害赔偿义务，或者当事人正在履行生态环境损害赔偿义务且确保修复和赔偿义务可履行到位的。  </w:t>
            </w:r>
          </w:p>
        </w:tc>
        <w:tc>
          <w:tcPr>
            <w:tcW w:w="3559" w:type="dxa"/>
            <w:tcBorders>
              <w:top w:val="single" w:color="auto" w:sz="4" w:space="0"/>
              <w:left w:val="single" w:color="auto" w:sz="4" w:space="0"/>
              <w:right w:val="single" w:color="auto" w:sz="4" w:space="0"/>
            </w:tcBorders>
            <w:vAlign w:val="center"/>
          </w:tcPr>
          <w:p w14:paraId="0B6DDE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u w:val="none"/>
                <w:lang w:val="en-US" w:eastAsia="zh-CN" w:bidi="ar-SA"/>
              </w:rPr>
              <w:t>《中华人民共和国行政处罚法》（2021年修订）</w:t>
            </w:r>
          </w:p>
          <w:p w14:paraId="54915C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第三十二条 第一项  当事人有下列情形之一，应当从轻或者减轻行政处罚：</w:t>
            </w:r>
          </w:p>
          <w:p w14:paraId="406070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（一）主动消除或者减轻违法行为危害后果的。</w:t>
            </w:r>
            <w:r>
              <w:rPr>
                <w:rFonts w:hint="eastAsia" w:ascii="仿宋_GB2312" w:eastAsia="仿宋_GB2312" w:cs="宋体"/>
                <w:color w:val="auto"/>
                <w:sz w:val="22"/>
                <w:szCs w:val="22"/>
                <w:u w:val="none"/>
                <w:lang w:val="en-US" w:eastAsia="zh-CN" w:bidi="ar-SA"/>
              </w:rPr>
              <w:br w:type="textWrapping"/>
            </w:r>
            <w:r>
              <w:rPr>
                <w:rFonts w:hint="eastAsia" w:ascii="仿宋_GB2312" w:cs="宋体"/>
                <w:color w:val="auto"/>
                <w:sz w:val="22"/>
                <w:szCs w:val="22"/>
                <w:u w:val="none"/>
                <w:lang w:val="en-US" w:eastAsia="zh-CN" w:bidi="ar-SA"/>
              </w:rPr>
              <w:t xml:space="preserve">   </w:t>
            </w: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highlight w:val="yellow"/>
                <w:u w:val="none"/>
                <w:lang w:val="en-US" w:eastAsia="zh-CN" w:bidi="ar-SA"/>
              </w:rPr>
              <w:t>.《中华人民共和国生态环境法典》（自2026年8月15日起施行）</w:t>
            </w:r>
            <w:r>
              <w:rPr>
                <w:rFonts w:hint="eastAsia"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ascii="仿宋_GB2312" w:eastAsia="仿宋_GB2312" w:cs="宋体"/>
                <w:color w:val="auto"/>
                <w:sz w:val="22"/>
                <w:szCs w:val="22"/>
                <w:highlight w:val="yellow"/>
                <w:u w:val="none"/>
                <w:lang w:val="en-US" w:eastAsia="zh-CN" w:bidi="ar-SA"/>
              </w:rPr>
              <w:t>第一千零五十六条</w:t>
            </w:r>
            <w:r>
              <w:rPr>
                <w:rFonts w:hint="eastAsia" w:ascii="仿宋_GB2312" w:cs="宋体"/>
                <w:color w:val="auto"/>
                <w:sz w:val="22"/>
                <w:szCs w:val="22"/>
                <w:highlight w:val="yellow"/>
                <w:u w:val="none"/>
                <w:lang w:val="en-US" w:eastAsia="zh-CN" w:bidi="ar-SA"/>
              </w:rPr>
              <w:t xml:space="preserve">第二款 </w:t>
            </w:r>
            <w:r>
              <w:rPr>
                <w:rFonts w:ascii="仿宋_GB2312" w:eastAsia="仿宋_GB2312" w:cs="宋体"/>
                <w:color w:val="auto"/>
                <w:sz w:val="22"/>
                <w:szCs w:val="22"/>
                <w:highlight w:val="yellow"/>
                <w:u w:val="none"/>
                <w:lang w:val="en-US" w:eastAsia="zh-CN" w:bidi="ar-SA"/>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tc>
        <w:tc>
          <w:tcPr>
            <w:tcW w:w="4780" w:type="dxa"/>
            <w:tcBorders>
              <w:top w:val="single" w:color="auto" w:sz="4" w:space="0"/>
              <w:left w:val="single" w:color="auto" w:sz="4" w:space="0"/>
              <w:right w:val="single" w:color="auto" w:sz="4" w:space="0"/>
            </w:tcBorders>
            <w:vAlign w:val="center"/>
          </w:tcPr>
          <w:p w14:paraId="30B532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strike w:val="0"/>
                <w:dstrike w:val="0"/>
                <w:color w:val="auto"/>
                <w:sz w:val="22"/>
                <w:szCs w:val="22"/>
                <w:highlight w:val="lightGray"/>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1.减轻处罚的金额原则上不超过损害赔偿金额；</w:t>
            </w:r>
            <w:r>
              <w:rPr>
                <w:rFonts w:ascii="Times New Roman" w:hAnsi="Times New Roman" w:eastAsia="楷体" w:cs="Times New Roman"/>
                <w:strike w:val="0"/>
                <w:dstrike w:val="0"/>
                <w:color w:val="auto"/>
                <w:sz w:val="22"/>
                <w:szCs w:val="22"/>
                <w:highlight w:val="none"/>
              </w:rPr>
              <w:t>】</w:t>
            </w:r>
          </w:p>
          <w:p w14:paraId="1924CC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2</w:t>
            </w:r>
            <w:r>
              <w:rPr>
                <w:rFonts w:ascii="Times New Roman" w:hAnsi="Times New Roman" w:eastAsia="楷体" w:cs="Times New Roman"/>
                <w:strike w:val="0"/>
                <w:dstrike w:val="0"/>
                <w:color w:val="auto"/>
                <w:sz w:val="22"/>
                <w:szCs w:val="22"/>
                <w:highlight w:val="none"/>
              </w:rPr>
              <w:t>】</w:t>
            </w:r>
            <w:r>
              <w:rPr>
                <w:rFonts w:hint="eastAsia" w:eastAsia="楷体" w:cs="Times New Roman"/>
                <w:strike w:val="0"/>
                <w:dstrike w:val="0"/>
                <w:color w:val="auto"/>
                <w:sz w:val="22"/>
                <w:szCs w:val="22"/>
                <w:highlight w:val="yellow"/>
                <w:lang w:val="en-US" w:eastAsia="zh-CN"/>
              </w:rPr>
              <w:t>1</w:t>
            </w:r>
            <w:r>
              <w:rPr>
                <w:rFonts w:hint="eastAsia" w:ascii="仿宋_GB2312" w:eastAsia="仿宋_GB2312" w:cs="宋体"/>
                <w:color w:val="auto"/>
                <w:sz w:val="22"/>
                <w:szCs w:val="22"/>
                <w:u w:val="none"/>
                <w:lang w:val="en-US" w:eastAsia="zh-CN" w:bidi="ar-SA"/>
              </w:rPr>
              <w:t>.以生态环境损害赔偿协议、修复效果评估报告等相关文件作为减轻处罚的认定依据。</w:t>
            </w:r>
          </w:p>
          <w:p w14:paraId="023DB1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3</w:t>
            </w:r>
            <w:r>
              <w:rPr>
                <w:rFonts w:ascii="Times New Roman" w:hAnsi="Times New Roman" w:eastAsia="楷体" w:cs="Times New Roman"/>
                <w:strike w:val="0"/>
                <w:dstrike w:val="0"/>
                <w:color w:val="auto"/>
                <w:sz w:val="22"/>
                <w:szCs w:val="22"/>
                <w:highlight w:val="none"/>
              </w:rPr>
              <w:t>】</w:t>
            </w:r>
            <w:r>
              <w:rPr>
                <w:rFonts w:hint="eastAsia" w:ascii="仿宋_GB2312" w:eastAsia="仿宋_GB2312" w:cs="宋体"/>
                <w:color w:val="auto"/>
                <w:sz w:val="22"/>
                <w:szCs w:val="22"/>
                <w:highlight w:val="yellow"/>
                <w:u w:val="none"/>
                <w:lang w:val="en-US" w:eastAsia="zh-CN" w:bidi="ar-SA"/>
              </w:rPr>
              <w:t>2</w:t>
            </w:r>
            <w:r>
              <w:rPr>
                <w:rFonts w:hint="eastAsia" w:ascii="仿宋_GB2312" w:eastAsia="仿宋_GB2312" w:cs="宋体"/>
                <w:color w:val="auto"/>
                <w:sz w:val="22"/>
                <w:szCs w:val="22"/>
                <w:u w:val="none"/>
                <w:lang w:val="en-US" w:eastAsia="zh-CN" w:bidi="ar-SA"/>
              </w:rPr>
              <w:t>.计算方法：</w:t>
            </w:r>
          </w:p>
          <w:p w14:paraId="32598A5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（一）对于当事人在行政处罚案件立案调查后30日内或者生态环境主管部门启动索赔与当事人首次磋商后1个月内履行了全部生态环境损害赔偿义务的，减轻处罚的金额为其生态环境损害赔偿的金额；</w:t>
            </w:r>
          </w:p>
          <w:p w14:paraId="756DD9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二）对于当事人在行政处罚案件立案调查后31-50日内或者生态环境主管部门启动索赔与当事人首次磋商后1-2个月内履行了全部生态环境损害赔偿义务的，减轻处罚的金额为按上述第（一）项规定的方式计算的金额的90%</w:t>
            </w:r>
            <w:r>
              <w:rPr>
                <w:rFonts w:hint="eastAsia" w:ascii="仿宋_GB2312" w:cs="宋体"/>
                <w:color w:val="auto"/>
                <w:sz w:val="22"/>
                <w:szCs w:val="22"/>
                <w:u w:val="none"/>
                <w:lang w:val="en-US" w:eastAsia="zh-CN" w:bidi="ar-SA"/>
              </w:rPr>
              <w:t>；</w:t>
            </w:r>
          </w:p>
          <w:p w14:paraId="7E812F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三）对于须履行的生态环境损害赔偿义务以货币计算超过5万元以上的，当事人在行政处罚案件立案调查后60日内或者生态环境主管部门启动索赔与当事人首次磋商后2-3个月内履行了全部生态环境损害赔偿义务的，减轻处罚的金额为按上述第（一）项规定的方式计算的金额的80%</w:t>
            </w:r>
            <w:r>
              <w:rPr>
                <w:rFonts w:hint="eastAsia" w:ascii="仿宋_GB2312" w:cs="宋体"/>
                <w:color w:val="auto"/>
                <w:sz w:val="22"/>
                <w:szCs w:val="22"/>
                <w:u w:val="none"/>
                <w:lang w:val="en-US" w:eastAsia="zh-CN" w:bidi="ar-SA"/>
              </w:rPr>
              <w:t>；</w:t>
            </w:r>
          </w:p>
          <w:p w14:paraId="7C47DB9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（四）除上述情形之外，在行政处罚决定书作出之前履行生态环境损害赔偿义务的，减轻处罚的金额为按上述第（一）项规定的方式计算的金额的50%</w:t>
            </w:r>
            <w:r>
              <w:rPr>
                <w:rFonts w:hint="eastAsia" w:ascii="仿宋_GB2312" w:cs="宋体"/>
                <w:color w:val="auto"/>
                <w:sz w:val="22"/>
                <w:szCs w:val="22"/>
                <w:u w:val="none"/>
                <w:lang w:val="en-US" w:eastAsia="zh-CN" w:bidi="ar-SA"/>
              </w:rPr>
              <w:t>；</w:t>
            </w:r>
          </w:p>
          <w:p w14:paraId="68EE21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 xml:space="preserve">（五）减轻后处罚金额=裁量计算拟处罚金额-赔偿金额×百分比，最终罚款金额相比法定最低罚款数额减去的金额一般不超过法定最低罚款数额的20%；如计算后最终罚款金额仍然高于法定最低罚款数额，按法定最低罚款数额*99%计算最终罚款金额（参照省厅裁量规则第十一条：“低于一万按‘百’取整”）。  </w:t>
            </w:r>
          </w:p>
        </w:tc>
      </w:tr>
      <w:tr w14:paraId="0B41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808" w:type="dxa"/>
            <w:tcBorders>
              <w:left w:val="single" w:color="auto" w:sz="4" w:space="0"/>
              <w:right w:val="single" w:color="auto" w:sz="4" w:space="0"/>
            </w:tcBorders>
            <w:vAlign w:val="center"/>
          </w:tcPr>
          <w:p w14:paraId="52CE01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2</w:t>
            </w:r>
          </w:p>
        </w:tc>
        <w:tc>
          <w:tcPr>
            <w:tcW w:w="1708" w:type="dxa"/>
            <w:tcBorders>
              <w:left w:val="single" w:color="auto" w:sz="4" w:space="0"/>
              <w:right w:val="single" w:color="auto" w:sz="4" w:space="0"/>
            </w:tcBorders>
            <w:vAlign w:val="center"/>
          </w:tcPr>
          <w:p w14:paraId="7DCCF9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对未</w:t>
            </w:r>
            <w:r>
              <w:rPr>
                <w:rFonts w:ascii="Times New Roman" w:hAnsi="Times New Roman" w:eastAsia="楷体" w:cs="Times New Roman"/>
                <w:sz w:val="22"/>
                <w:szCs w:val="22"/>
                <w:highlight w:val="none"/>
              </w:rPr>
              <w:t>【</w:t>
            </w:r>
            <w:r>
              <w:rPr>
                <w:rFonts w:hint="eastAsia" w:ascii="仿宋_GB2312" w:eastAsia="仿宋_GB2312" w:cs="宋体"/>
                <w:strike w:val="0"/>
                <w:dstrike w:val="0"/>
                <w:color w:val="auto"/>
                <w:sz w:val="22"/>
                <w:szCs w:val="22"/>
                <w:highlight w:val="lightGray"/>
                <w:u w:val="none"/>
                <w:lang w:val="en-US" w:eastAsia="zh-CN" w:bidi="ar-SA"/>
              </w:rPr>
              <w:t>规范</w:t>
            </w:r>
            <w:r>
              <w:rPr>
                <w:rFonts w:ascii="Times New Roman" w:hAnsi="Times New Roman" w:eastAsia="楷体" w:cs="Times New Roman"/>
                <w:strike w:val="0"/>
                <w:dstrike w:val="0"/>
                <w:color w:val="auto"/>
                <w:sz w:val="22"/>
                <w:szCs w:val="22"/>
                <w:highlight w:val="none"/>
              </w:rPr>
              <w:t>】</w:t>
            </w:r>
            <w:r>
              <w:rPr>
                <w:rFonts w:hint="eastAsia" w:ascii="仿宋_GB2312" w:eastAsia="仿宋_GB2312" w:cs="宋体"/>
                <w:color w:val="auto"/>
                <w:sz w:val="22"/>
                <w:szCs w:val="22"/>
                <w:u w:val="none"/>
                <w:lang w:val="en-US" w:eastAsia="zh-CN" w:bidi="ar-SA"/>
              </w:rPr>
              <w:t>填写、运行危险废物转移联单的处罚</w:t>
            </w:r>
          </w:p>
        </w:tc>
        <w:tc>
          <w:tcPr>
            <w:tcW w:w="3695" w:type="dxa"/>
            <w:tcBorders>
              <w:top w:val="single" w:color="auto" w:sz="4" w:space="0"/>
              <w:left w:val="single" w:color="auto" w:sz="4" w:space="0"/>
              <w:bottom w:val="single" w:color="auto" w:sz="4" w:space="0"/>
              <w:right w:val="single" w:color="auto" w:sz="4" w:space="0"/>
            </w:tcBorders>
            <w:vAlign w:val="center"/>
          </w:tcPr>
          <w:p w14:paraId="2DA0AF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违法行为持续时间不超过3个月，主动消除环境污染后果，并在5个工作日内改正的（记录弄虚作假的除外）。</w:t>
            </w:r>
          </w:p>
        </w:tc>
        <w:tc>
          <w:tcPr>
            <w:tcW w:w="3559" w:type="dxa"/>
            <w:tcBorders>
              <w:left w:val="single" w:color="auto" w:sz="4" w:space="0"/>
              <w:right w:val="single" w:color="auto" w:sz="4" w:space="0"/>
            </w:tcBorders>
            <w:vAlign w:val="center"/>
          </w:tcPr>
          <w:p w14:paraId="37F28A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1.《中华人民共和国生态环境法典》（自2026年8月15日起施行）</w:t>
            </w:r>
          </w:p>
          <w:p w14:paraId="4FF326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第一千一百七十五条　违反本法规定，有下列情形之一的，由生态环境主管部门责令改正，没收违法所得，并处以罚款；情节严重的，报经有批准权的人民政府批准，责令停业、关闭：</w:t>
            </w:r>
          </w:p>
          <w:p w14:paraId="186D64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w:t>
            </w:r>
          </w:p>
          <w:p w14:paraId="0FC125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（七）未填写、运行危险废物转移联单；</w:t>
            </w:r>
          </w:p>
          <w:p w14:paraId="76652AC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hint="eastAsia" w:ascii="仿宋_GB2312" w:hAnsi="Calibri" w:eastAsia="仿宋_GB2312" w:cs="宋体"/>
                <w:strike w:val="0"/>
                <w:dstrike w:val="0"/>
                <w:color w:val="auto"/>
                <w:kern w:val="2"/>
                <w:sz w:val="22"/>
                <w:szCs w:val="22"/>
                <w:highlight w:val="yellow"/>
                <w:u w:val="none"/>
                <w:lang w:val="en-US" w:eastAsia="zh-CN" w:bidi="ar-SA"/>
              </w:rPr>
              <w:t>……。</w:t>
            </w:r>
          </w:p>
          <w:p w14:paraId="1D8F53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ascii="仿宋_GB2312" w:hAnsi="Calibri" w:eastAsia="仿宋_GB2312" w:cs="宋体"/>
                <w:strike w:val="0"/>
                <w:dstrike w:val="0"/>
                <w:color w:val="auto"/>
                <w:kern w:val="2"/>
                <w:sz w:val="22"/>
                <w:szCs w:val="22"/>
                <w:highlight w:val="yellow"/>
                <w:u w:val="none"/>
                <w:lang w:val="en-US" w:eastAsia="zh-CN" w:bidi="ar-SA"/>
              </w:rPr>
            </w:pPr>
            <w:r>
              <w:rPr>
                <w:rFonts w:ascii="仿宋_GB2312" w:hAnsi="Calibri" w:eastAsia="仿宋_GB2312" w:cs="宋体"/>
                <w:strike w:val="0"/>
                <w:dstrike w:val="0"/>
                <w:color w:val="auto"/>
                <w:kern w:val="2"/>
                <w:sz w:val="22"/>
                <w:szCs w:val="22"/>
                <w:highlight w:val="yellow"/>
                <w:u w:val="none"/>
                <w:lang w:val="en-US" w:eastAsia="zh-CN" w:bidi="ar-SA"/>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5FD45B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cs="宋体"/>
                <w:color w:val="auto"/>
                <w:sz w:val="22"/>
                <w:szCs w:val="22"/>
                <w:highlight w:val="yellow"/>
                <w:u w:val="none"/>
                <w:lang w:val="en-US" w:eastAsia="zh-CN" w:bidi="ar-SA"/>
              </w:rPr>
              <w:t>2.</w:t>
            </w:r>
            <w:r>
              <w:rPr>
                <w:rFonts w:hint="eastAsia" w:ascii="仿宋_GB2312" w:eastAsia="仿宋_GB2312" w:cs="宋体"/>
                <w:color w:val="auto"/>
                <w:sz w:val="22"/>
                <w:szCs w:val="22"/>
                <w:u w:val="none"/>
                <w:lang w:val="en-US" w:eastAsia="zh-CN" w:bidi="ar-SA"/>
              </w:rPr>
              <w:t>《危险废物转移管理办法》（生态环境部、公安部、交通运输部令第23号）</w:t>
            </w:r>
          </w:p>
          <w:p w14:paraId="50CFD01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第二十九条 第三款  违反本办法规定，未规范填写、运行危险废物转移联单，及时改正，且没有造成危害后果的，依法不予行政处罚；主动消除或者减轻危害后果的，生态环境主管部门可以依法从轻或者减轻行政处罚。</w:t>
            </w:r>
          </w:p>
        </w:tc>
        <w:tc>
          <w:tcPr>
            <w:tcW w:w="4780" w:type="dxa"/>
            <w:tcBorders>
              <w:left w:val="single" w:color="auto" w:sz="4" w:space="0"/>
              <w:right w:val="single" w:color="auto" w:sz="4" w:space="0"/>
            </w:tcBorders>
            <w:vAlign w:val="center"/>
          </w:tcPr>
          <w:p w14:paraId="4D5549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440" w:firstLineChars="200"/>
              <w:jc w:val="both"/>
              <w:textAlignment w:val="auto"/>
              <w:rPr>
                <w:rFonts w:hint="eastAsia" w:ascii="仿宋_GB2312" w:eastAsia="仿宋_GB2312" w:cs="宋体"/>
                <w:color w:val="auto"/>
                <w:sz w:val="22"/>
                <w:szCs w:val="22"/>
                <w:u w:val="none"/>
                <w:lang w:val="en-US" w:eastAsia="zh-CN" w:bidi="ar-SA"/>
              </w:rPr>
            </w:pPr>
          </w:p>
        </w:tc>
      </w:tr>
    </w:tbl>
    <w:p w14:paraId="68E640AA">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240" w:lineRule="exact"/>
        <w:ind w:left="0" w:firstLine="480" w:firstLineChars="200"/>
        <w:textAlignment w:val="baseline"/>
        <w:rPr>
          <w:rFonts w:hint="eastAsia" w:ascii="宋体" w:hAnsi="宋体" w:cs="宋体"/>
          <w:b/>
          <w:bCs/>
          <w:color w:val="000000"/>
          <w:kern w:val="0"/>
          <w:sz w:val="24"/>
          <w:szCs w:val="24"/>
          <w:highlight w:val="none"/>
          <w:u w:val="none"/>
          <w:lang w:val="en-US" w:eastAsia="zh-CN"/>
        </w:rPr>
      </w:pPr>
    </w:p>
    <w:p w14:paraId="55231ACD">
      <w:pPr>
        <w:pStyle w:val="2"/>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400" w:lineRule="exact"/>
        <w:ind w:left="0" w:firstLine="480" w:firstLineChars="200"/>
        <w:textAlignment w:val="baseline"/>
        <w:rPr>
          <w:rFonts w:hint="eastAsia" w:ascii="宋体" w:hAnsi="宋体" w:cs="宋体"/>
          <w:b/>
          <w:bCs/>
          <w:color w:val="000000"/>
          <w:kern w:val="0"/>
          <w:sz w:val="24"/>
          <w:szCs w:val="24"/>
          <w:highlight w:val="none"/>
          <w:u w:val="none"/>
          <w:lang w:val="en-US" w:eastAsia="zh-CN"/>
        </w:rPr>
      </w:pPr>
      <w:r>
        <w:rPr>
          <w:rFonts w:hint="eastAsia" w:ascii="宋体" w:hAnsi="宋体" w:cs="宋体"/>
          <w:b/>
          <w:bCs/>
          <w:color w:val="000000"/>
          <w:kern w:val="0"/>
          <w:sz w:val="24"/>
          <w:szCs w:val="24"/>
          <w:highlight w:val="none"/>
          <w:u w:val="none"/>
          <w:lang w:val="en-US" w:eastAsia="zh-CN"/>
        </w:rPr>
        <w:t>备注：</w:t>
      </w:r>
    </w:p>
    <w:p w14:paraId="31F73BB5">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00" w:lineRule="exact"/>
        <w:ind w:left="0" w:firstLine="440" w:firstLineChars="200"/>
        <w:textAlignment w:val="baseline"/>
        <w:rPr>
          <w:rFonts w:hint="eastAsia" w:ascii="仿宋_GB2312" w:hAnsi="Calibri"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u w:val="none"/>
          <w:lang w:val="en-US" w:eastAsia="zh-CN" w:bidi="ar-SA"/>
        </w:rPr>
        <w:t>1.有毒有害物质是指《最高人民法院 最高人民检察院关于办理环境污染刑事案件适用法律若干问题的解释》所涉及《关于持久性有机污染物的斯德哥尔摩公约》附件所列物质、含重金属的污染物及列入《有毒有害水污染物名录》《有毒有害大气污染物名录》的污染物。</w:t>
      </w:r>
    </w:p>
    <w:p w14:paraId="36EF67C2">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00" w:lineRule="exact"/>
        <w:ind w:left="0" w:firstLine="440" w:firstLineChars="200"/>
        <w:textAlignment w:val="baseline"/>
        <w:rPr>
          <w:rFonts w:hint="eastAsia" w:ascii="仿宋_GB2312" w:eastAsia="仿宋_GB2312" w:cs="宋体"/>
          <w:color w:val="auto"/>
          <w:kern w:val="2"/>
          <w:sz w:val="22"/>
          <w:szCs w:val="22"/>
          <w:u w:val="none"/>
          <w:lang w:val="en-US" w:eastAsia="zh-CN" w:bidi="ar-SA"/>
        </w:rPr>
      </w:pPr>
      <w:r>
        <w:rPr>
          <w:rFonts w:hint="eastAsia" w:ascii="仿宋_GB2312" w:hAnsi="Calibri" w:eastAsia="仿宋_GB2312" w:cs="宋体"/>
          <w:color w:val="auto"/>
          <w:kern w:val="2"/>
          <w:sz w:val="22"/>
          <w:szCs w:val="22"/>
          <w:u w:val="none"/>
          <w:lang w:val="en-US" w:eastAsia="zh-CN" w:bidi="ar-SA"/>
        </w:rPr>
        <w:t>2.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r>
        <w:rPr>
          <w:rFonts w:hint="eastAsia" w:ascii="仿宋_GB2312" w:eastAsia="仿宋_GB2312" w:cs="宋体"/>
          <w:color w:val="auto"/>
          <w:kern w:val="2"/>
          <w:sz w:val="22"/>
          <w:szCs w:val="22"/>
          <w:u w:val="none"/>
          <w:lang w:val="en-US" w:eastAsia="zh-CN" w:bidi="ar-SA"/>
        </w:rPr>
        <w:t>根据《福建省生态环境行政处罚裁量规则》第九条第四款，对符合规定的减轻处罚，减少后的最终罚款金额应当在法定最低罚款数额以下确定，且相比法定最低罚款数额减去的金额一般不超过法定最低罚款数额的20%。</w:t>
      </w:r>
    </w:p>
    <w:p w14:paraId="16FDB3E3">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00" w:lineRule="exact"/>
        <w:ind w:left="0" w:firstLine="440" w:firstLineChars="200"/>
        <w:textAlignment w:val="baseline"/>
        <w:rPr>
          <w:rFonts w:hint="eastAsia" w:ascii="仿宋_GB2312" w:hAnsi="Calibri" w:eastAsia="仿宋_GB2312" w:cs="宋体"/>
          <w:color w:val="auto"/>
          <w:kern w:val="2"/>
          <w:sz w:val="22"/>
          <w:szCs w:val="22"/>
          <w:highlight w:val="yellow"/>
          <w:u w:val="none"/>
          <w:lang w:val="en-US" w:eastAsia="zh-CN" w:bidi="ar-SA"/>
        </w:rPr>
      </w:pPr>
      <w:r>
        <w:rPr>
          <w:rFonts w:hint="eastAsia" w:ascii="仿宋_GB2312" w:eastAsia="仿宋_GB2312" w:cs="宋体"/>
          <w:color w:val="auto"/>
          <w:kern w:val="2"/>
          <w:sz w:val="22"/>
          <w:szCs w:val="22"/>
          <w:u w:val="none"/>
          <w:lang w:val="en-US" w:eastAsia="zh-CN" w:bidi="ar-SA"/>
        </w:rPr>
        <w:t>3.涉及非法排放倾倒含有毒有害物质造成环境污染案件、通过暗管、渗井、渗坑、灌注或者不正常运行防治污染设施等逃避监管的方式排放污染物，篡改或伪造监测数据、弄虚作假等主观恶性较大违法行为，或当事人存在两年内曾受过生态环境行政处罚、作出处罚决定前未整改到位的或造成群众重复投诉查实、新闻媒体曝光、上级部门督办等不良社会反响等情况的，不适用减轻处罚。</w:t>
      </w:r>
      <w:r>
        <w:rPr>
          <w:rFonts w:hint="eastAsia" w:ascii="仿宋_GB2312" w:hAnsi="Calibri" w:eastAsia="仿宋_GB2312" w:cs="宋体"/>
          <w:color w:val="auto"/>
          <w:kern w:val="2"/>
          <w:sz w:val="22"/>
          <w:szCs w:val="22"/>
          <w:highlight w:val="yellow"/>
          <w:u w:val="none"/>
          <w:lang w:val="en-US" w:eastAsia="zh-CN" w:bidi="ar-SA"/>
        </w:rPr>
        <w:t>其他类型案件符合本清单的事项，可以适用减轻处罚。</w:t>
      </w:r>
    </w:p>
    <w:p w14:paraId="748B19A0">
      <w:pPr>
        <w:overflowPunct/>
        <w:autoSpaceDE/>
        <w:autoSpaceDN/>
        <w:adjustRightInd/>
        <w:spacing w:line="300" w:lineRule="exact"/>
        <w:ind w:firstLine="440" w:firstLineChars="200"/>
        <w:jc w:val="left"/>
        <w:textAlignment w:val="auto"/>
        <w:rPr>
          <w:rFonts w:hint="eastAsia" w:ascii="仿宋_GB2312" w:eastAsia="仿宋_GB2312" w:cs="宋体"/>
          <w:color w:val="auto"/>
          <w:kern w:val="2"/>
          <w:sz w:val="22"/>
          <w:szCs w:val="22"/>
          <w:u w:val="none"/>
          <w:lang w:val="en-US" w:eastAsia="zh-CN" w:bidi="ar-SA"/>
        </w:rPr>
      </w:pPr>
      <w:r>
        <w:rPr>
          <w:rFonts w:hint="eastAsia" w:ascii="仿宋_GB2312" w:hAnsi="Times New Roman" w:eastAsia="仿宋_GB2312" w:cs="宋体"/>
          <w:color w:val="auto"/>
          <w:kern w:val="2"/>
          <w:sz w:val="22"/>
          <w:szCs w:val="22"/>
          <w:u w:val="none"/>
          <w:lang w:val="en-US" w:eastAsia="zh-CN" w:bidi="ar-SA"/>
        </w:rPr>
        <w:t>4.未列入本清单的事项，符合《中华人民共和国行政处罚法》第三十条、第三十二条规定应当减轻处罚情形的，也应当给予减轻处罚；符合《中华人民共和国行政处罚法》第三十一条规定可以减轻处罚情形的，也可以给予减轻处罚。</w:t>
      </w:r>
    </w:p>
    <w:p w14:paraId="5A65E8FB">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40" w:firstLineChars="200"/>
        <w:jc w:val="left"/>
        <w:textAlignment w:val="auto"/>
        <w:rPr>
          <w:rFonts w:hint="eastAsia" w:ascii="方正小标宋简体" w:hAnsi="仿宋" w:eastAsia="方正小标宋简体" w:cs="仿宋"/>
          <w:color w:val="auto"/>
          <w:sz w:val="32"/>
          <w:szCs w:val="32"/>
          <w:u w:val="none"/>
          <w:lang w:val="en-US" w:eastAsia="zh-CN" w:bidi="ar-SA"/>
        </w:rPr>
      </w:pPr>
      <w:r>
        <w:rPr>
          <w:rFonts w:hint="eastAsia" w:ascii="仿宋_GB2312" w:hAnsi="Times New Roman" w:eastAsia="仿宋_GB2312" w:cs="宋体"/>
          <w:color w:val="auto"/>
          <w:kern w:val="2"/>
          <w:sz w:val="22"/>
          <w:szCs w:val="22"/>
          <w:u w:val="none"/>
          <w:lang w:val="en-US" w:eastAsia="zh-CN" w:bidi="ar-SA"/>
        </w:rPr>
        <w:br w:type="page"/>
      </w:r>
    </w:p>
    <w:p w14:paraId="2EB7D7D7">
      <w:pPr>
        <w:keepNext w:val="0"/>
        <w:keepLines w:val="0"/>
        <w:pageBreakBefore w:val="0"/>
        <w:widowControl w:val="0"/>
        <w:kinsoku/>
        <w:topLinePunct w:val="0"/>
        <w:bidi w:val="0"/>
        <w:snapToGrid/>
        <w:spacing w:beforeAutospacing="0" w:afterAutospacing="0"/>
        <w:jc w:val="center"/>
        <w:rPr>
          <w:rFonts w:hint="eastAsia" w:ascii="方正小标宋简体" w:hAnsi="仿宋" w:eastAsia="方正小标宋简体" w:cs="仿宋"/>
          <w:color w:val="auto"/>
          <w:sz w:val="44"/>
          <w:szCs w:val="44"/>
          <w:u w:val="none"/>
          <w:lang w:val="en-US" w:eastAsia="zh-CN" w:bidi="ar-SA"/>
        </w:rPr>
      </w:pPr>
      <w:r>
        <w:rPr>
          <w:rFonts w:hint="eastAsia" w:ascii="方正小标宋简体" w:hAnsi="仿宋" w:eastAsia="方正小标宋简体" w:cs="仿宋"/>
          <w:color w:val="auto"/>
          <w:sz w:val="44"/>
          <w:szCs w:val="44"/>
          <w:u w:val="none"/>
          <w:lang w:val="en-US" w:eastAsia="zh-CN" w:bidi="ar-SA"/>
        </w:rPr>
        <w:t>免予行政强制事项清单</w:t>
      </w:r>
    </w:p>
    <w:tbl>
      <w:tblPr>
        <w:tblStyle w:val="14"/>
        <w:tblW w:w="148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
      <w:tblGrid>
        <w:gridCol w:w="843"/>
        <w:gridCol w:w="1601"/>
        <w:gridCol w:w="4650"/>
        <w:gridCol w:w="6429"/>
        <w:gridCol w:w="1357"/>
      </w:tblGrid>
      <w:tr w14:paraId="1C83A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560" w:hRule="atLeast"/>
          <w:jc w:val="center"/>
        </w:trPr>
        <w:tc>
          <w:tcPr>
            <w:tcW w:w="843" w:type="dxa"/>
            <w:vAlign w:val="center"/>
          </w:tcPr>
          <w:p w14:paraId="25D019A3">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olor w:val="auto"/>
                <w:kern w:val="0"/>
                <w:sz w:val="24"/>
                <w:szCs w:val="24"/>
                <w:u w:val="none"/>
                <w:lang w:eastAsia="zh-CN"/>
              </w:rPr>
            </w:pPr>
            <w:r>
              <w:rPr>
                <w:rFonts w:hint="eastAsia" w:ascii="黑体" w:hAnsi="Times New Roman" w:eastAsia="黑体"/>
                <w:color w:val="auto"/>
                <w:kern w:val="0"/>
                <w:sz w:val="24"/>
                <w:szCs w:val="24"/>
                <w:u w:val="none"/>
                <w:lang w:eastAsia="zh-CN"/>
              </w:rPr>
              <w:t>序号</w:t>
            </w:r>
          </w:p>
        </w:tc>
        <w:tc>
          <w:tcPr>
            <w:tcW w:w="1601" w:type="dxa"/>
            <w:vAlign w:val="center"/>
          </w:tcPr>
          <w:p w14:paraId="51EF8C27">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olor w:val="auto"/>
                <w:kern w:val="0"/>
                <w:sz w:val="24"/>
                <w:szCs w:val="24"/>
                <w:u w:val="none"/>
                <w:lang w:eastAsia="zh-CN"/>
              </w:rPr>
            </w:pPr>
            <w:r>
              <w:rPr>
                <w:rFonts w:hint="eastAsia" w:ascii="黑体" w:hAnsi="Times New Roman" w:eastAsia="黑体"/>
                <w:color w:val="auto"/>
                <w:kern w:val="0"/>
                <w:sz w:val="24"/>
                <w:szCs w:val="24"/>
                <w:u w:val="none"/>
                <w:lang w:eastAsia="zh-CN"/>
              </w:rPr>
              <w:t>行政强制事项</w:t>
            </w:r>
          </w:p>
        </w:tc>
        <w:tc>
          <w:tcPr>
            <w:tcW w:w="4650" w:type="dxa"/>
            <w:vAlign w:val="center"/>
          </w:tcPr>
          <w:p w14:paraId="02977D39">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olor w:val="auto"/>
                <w:kern w:val="0"/>
                <w:sz w:val="24"/>
                <w:szCs w:val="24"/>
                <w:u w:val="none"/>
                <w:lang w:eastAsia="zh-CN"/>
              </w:rPr>
            </w:pPr>
            <w:r>
              <w:rPr>
                <w:rFonts w:hint="eastAsia" w:ascii="黑体" w:hAnsi="Times New Roman" w:eastAsia="黑体"/>
                <w:color w:val="auto"/>
                <w:kern w:val="0"/>
                <w:sz w:val="24"/>
                <w:szCs w:val="24"/>
                <w:u w:val="none"/>
                <w:lang w:eastAsia="zh-CN"/>
              </w:rPr>
              <w:t>免予行政强制适用条件</w:t>
            </w:r>
          </w:p>
        </w:tc>
        <w:tc>
          <w:tcPr>
            <w:tcW w:w="6429" w:type="dxa"/>
            <w:vAlign w:val="center"/>
          </w:tcPr>
          <w:p w14:paraId="1B6B550E">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olor w:val="auto"/>
                <w:kern w:val="0"/>
                <w:sz w:val="24"/>
                <w:szCs w:val="24"/>
                <w:u w:val="none"/>
                <w:lang w:eastAsia="zh-CN"/>
              </w:rPr>
            </w:pPr>
            <w:r>
              <w:rPr>
                <w:rFonts w:hint="eastAsia" w:ascii="黑体" w:hAnsi="Times New Roman" w:eastAsia="黑体"/>
                <w:color w:val="auto"/>
                <w:kern w:val="0"/>
                <w:sz w:val="24"/>
                <w:szCs w:val="24"/>
                <w:u w:val="none"/>
                <w:lang w:eastAsia="zh-CN"/>
              </w:rPr>
              <w:t>法律依据</w:t>
            </w:r>
          </w:p>
        </w:tc>
        <w:tc>
          <w:tcPr>
            <w:tcW w:w="1357" w:type="dxa"/>
            <w:vAlign w:val="center"/>
          </w:tcPr>
          <w:p w14:paraId="03ACDEC0">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黑体" w:hAnsi="Times New Roman" w:eastAsia="黑体"/>
                <w:color w:val="auto"/>
                <w:kern w:val="0"/>
                <w:sz w:val="24"/>
                <w:szCs w:val="24"/>
                <w:u w:val="none"/>
                <w:lang w:eastAsia="zh-CN"/>
              </w:rPr>
            </w:pPr>
            <w:r>
              <w:rPr>
                <w:rFonts w:hint="eastAsia" w:ascii="黑体" w:hAnsi="Times New Roman" w:eastAsia="黑体"/>
                <w:color w:val="auto"/>
                <w:kern w:val="0"/>
                <w:sz w:val="24"/>
                <w:szCs w:val="24"/>
                <w:u w:val="none"/>
                <w:lang w:eastAsia="zh-CN"/>
              </w:rPr>
              <w:t>备注</w:t>
            </w:r>
          </w:p>
        </w:tc>
      </w:tr>
      <w:tr w14:paraId="099F08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580" w:hRule="atLeast"/>
          <w:jc w:val="center"/>
        </w:trPr>
        <w:tc>
          <w:tcPr>
            <w:tcW w:w="843" w:type="dxa"/>
            <w:vAlign w:val="center"/>
          </w:tcPr>
          <w:p w14:paraId="13F98DB4">
            <w:pPr>
              <w:keepNext w:val="0"/>
              <w:keepLines w:val="0"/>
              <w:pageBreakBefore w:val="0"/>
              <w:widowControl w:val="0"/>
              <w:numPr>
                <w:ilvl w:val="0"/>
                <w:numId w:val="0"/>
              </w:numPr>
              <w:kinsoku/>
              <w:wordWrap/>
              <w:topLinePunct w:val="0"/>
              <w:bidi w:val="0"/>
              <w:snapToGrid/>
              <w:spacing w:beforeAutospacing="0" w:afterAutospacing="0" w:line="320" w:lineRule="exact"/>
              <w:jc w:val="center"/>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w:t>
            </w:r>
          </w:p>
        </w:tc>
        <w:tc>
          <w:tcPr>
            <w:tcW w:w="1601" w:type="dxa"/>
            <w:vAlign w:val="center"/>
          </w:tcPr>
          <w:p w14:paraId="51670286">
            <w:pPr>
              <w:keepNext w:val="0"/>
              <w:keepLines w:val="0"/>
              <w:pageBreakBefore w:val="0"/>
              <w:widowControl w:val="0"/>
              <w:kinsoku/>
              <w:wordWrap/>
              <w:overflowPunct/>
              <w:topLinePunct w:val="0"/>
              <w:autoSpaceDE/>
              <w:autoSpaceDN/>
              <w:bidi w:val="0"/>
              <w:adjustRightInd/>
              <w:snapToGrid/>
              <w:spacing w:beforeAutospacing="0" w:afterAutospacing="0" w:line="320" w:lineRule="exact"/>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对涉及</w:t>
            </w:r>
            <w:r>
              <w:rPr>
                <w:rFonts w:hint="eastAsia" w:ascii="仿宋_GB2312" w:eastAsia="仿宋_GB2312" w:cs="宋体"/>
                <w:color w:val="auto"/>
                <w:sz w:val="22"/>
                <w:szCs w:val="22"/>
                <w:highlight w:val="none"/>
                <w:u w:val="none"/>
                <w:lang w:val="en-US" w:eastAsia="zh-CN" w:bidi="ar-SA"/>
              </w:rPr>
              <w:t>基本民生、公共利益、生产安全等生产经营活动，造成或者可能造成严重污染排污者的查封、扣押</w:t>
            </w:r>
          </w:p>
        </w:tc>
        <w:tc>
          <w:tcPr>
            <w:tcW w:w="4650" w:type="dxa"/>
            <w:vAlign w:val="center"/>
          </w:tcPr>
          <w:p w14:paraId="3240A233">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同时具备下列条件：</w:t>
            </w:r>
          </w:p>
          <w:p w14:paraId="59997ECC">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（1）涉及城镇污水处理、垃圾处理、危险废物处置等公共设施的运营单位，或者供水、供气、供热等涉及基本民生、公共利益的，或者实施查封、扣押可能影响生产安全的；</w:t>
            </w:r>
          </w:p>
          <w:p w14:paraId="5D6D807E">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（2）违法行为情节显著轻微或者社会危害较小；</w:t>
            </w:r>
          </w:p>
          <w:p w14:paraId="10DEC5D0">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（3）采用非强制性手段能够达到行政管理目的。</w:t>
            </w:r>
          </w:p>
        </w:tc>
        <w:tc>
          <w:tcPr>
            <w:tcW w:w="6429" w:type="dxa"/>
            <w:vAlign w:val="center"/>
          </w:tcPr>
          <w:p w14:paraId="217A158E">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jc w:val="both"/>
              <w:rPr>
                <w:rFonts w:hint="eastAsia" w:ascii="仿宋_GB2312" w:eastAsia="仿宋_GB2312" w:cs="宋体"/>
                <w:color w:val="auto"/>
                <w:sz w:val="22"/>
                <w:szCs w:val="22"/>
                <w:highlight w:val="red"/>
                <w:u w:val="none"/>
                <w:lang w:val="en-US" w:eastAsia="zh-CN" w:bidi="ar-SA"/>
              </w:rPr>
            </w:pP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highlight w:val="yellow"/>
                <w:u w:val="none"/>
                <w:lang w:val="en-US" w:eastAsia="zh-CN" w:bidi="ar-SA"/>
              </w:rPr>
              <w:t>《中华人民共和国生态环境法典》（自2026年8月15日起施行）</w:t>
            </w:r>
            <w:r>
              <w:rPr>
                <w:rFonts w:hint="eastAsia"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hint="eastAsia" w:ascii="仿宋_GB2312" w:eastAsia="仿宋_GB2312" w:cs="宋体"/>
                <w:color w:val="auto"/>
                <w:sz w:val="22"/>
                <w:szCs w:val="22"/>
                <w:highlight w:val="yellow"/>
                <w:u w:val="none"/>
                <w:lang w:val="en-US" w:eastAsia="zh-CN" w:bidi="ar-SA"/>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049EA71B">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cs="宋体"/>
                <w:sz w:val="22"/>
                <w:szCs w:val="22"/>
                <w:highlight w:val="yellow"/>
              </w:rPr>
              <w:t>2</w:t>
            </w:r>
            <w:r>
              <w:rPr>
                <w:rFonts w:hint="eastAsia" w:ascii="仿宋_GB2312" w:cs="宋体"/>
                <w:color w:val="auto"/>
                <w:sz w:val="22"/>
                <w:szCs w:val="22"/>
                <w:u w:val="none"/>
                <w:lang w:val="en-US" w:eastAsia="zh-CN" w:bidi="ar-SA"/>
              </w:rPr>
              <w:t>.</w:t>
            </w:r>
            <w:r>
              <w:rPr>
                <w:rFonts w:hint="eastAsia" w:ascii="仿宋_GB2312" w:eastAsia="仿宋_GB2312" w:cs="宋体"/>
                <w:color w:val="auto"/>
                <w:sz w:val="22"/>
                <w:szCs w:val="22"/>
                <w:highlight w:val="none"/>
                <w:u w:val="none"/>
                <w:lang w:val="en-US" w:eastAsia="zh-CN" w:bidi="ar-SA"/>
              </w:rPr>
              <w:t>《环境</w:t>
            </w:r>
            <w:r>
              <w:rPr>
                <w:rFonts w:hint="eastAsia" w:ascii="仿宋_GB2312" w:cs="宋体"/>
                <w:sz w:val="22"/>
                <w:szCs w:val="22"/>
              </w:rPr>
              <w:t>保护</w:t>
            </w:r>
            <w:r>
              <w:rPr>
                <w:rFonts w:hint="eastAsia" w:ascii="仿宋_GB2312" w:eastAsia="仿宋_GB2312" w:cs="宋体"/>
                <w:color w:val="auto"/>
                <w:sz w:val="22"/>
                <w:szCs w:val="22"/>
                <w:highlight w:val="none"/>
                <w:u w:val="none"/>
                <w:lang w:val="en-US" w:eastAsia="zh-CN" w:bidi="ar-SA"/>
              </w:rPr>
              <w:t>主管部门实施查封、扣押办法》</w:t>
            </w:r>
          </w:p>
          <w:p w14:paraId="07F740E0">
            <w:pPr>
              <w:keepNext w:val="0"/>
              <w:keepLines w:val="0"/>
              <w:pageBreakBefore w:val="0"/>
              <w:widowControl w:val="0"/>
              <w:suppressLineNumbers w:val="0"/>
              <w:suppressAutoHyphens w:val="0"/>
              <w:spacing w:line="320" w:lineRule="exact"/>
              <w:ind w:left="0" w:firstLine="440" w:firstLineChars="200"/>
              <w:rPr>
                <w:rFonts w:hint="eastAsia" w:ascii="仿宋_GB2312" w:hAnsi="Times New Roman" w:eastAsia="仿宋_GB2312" w:cs="宋体"/>
                <w:vanish w:val="0"/>
                <w:kern w:val="2"/>
                <w:sz w:val="22"/>
                <w:szCs w:val="22"/>
              </w:rPr>
            </w:pPr>
            <w:r>
              <w:rPr>
                <w:rFonts w:hint="eastAsia" w:ascii="仿宋_GB2312" w:hAnsi="Times New Roman" w:eastAsia="仿宋_GB2312" w:cs="宋体"/>
                <w:vanish w:val="0"/>
                <w:kern w:val="2"/>
                <w:sz w:val="22"/>
                <w:szCs w:val="22"/>
              </w:rPr>
              <w:t>第六条  具备下列情形之一的排污者，造成或者可能造成严重污染的，环境保护主管部门应当按照有关环境保护法律法规予以处罚，可以不予实施查封、扣押：</w:t>
            </w:r>
          </w:p>
          <w:p w14:paraId="025BC60B">
            <w:pPr>
              <w:keepNext w:val="0"/>
              <w:keepLines w:val="0"/>
              <w:pageBreakBefore w:val="0"/>
              <w:widowControl w:val="0"/>
              <w:suppressLineNumbers w:val="0"/>
              <w:suppressAutoHyphens w:val="0"/>
              <w:spacing w:line="320" w:lineRule="exact"/>
              <w:ind w:left="0" w:firstLine="440" w:firstLineChars="200"/>
              <w:rPr>
                <w:rFonts w:hint="eastAsia" w:ascii="仿宋_GB2312" w:hAnsi="Times New Roman" w:eastAsia="仿宋_GB2312" w:cs="宋体"/>
                <w:vanish w:val="0"/>
                <w:kern w:val="2"/>
                <w:sz w:val="22"/>
                <w:szCs w:val="22"/>
              </w:rPr>
            </w:pPr>
            <w:r>
              <w:rPr>
                <w:rFonts w:hint="eastAsia" w:ascii="仿宋_GB2312" w:hAnsi="Times New Roman" w:eastAsia="仿宋_GB2312" w:cs="宋体"/>
                <w:vanish w:val="0"/>
                <w:kern w:val="2"/>
                <w:sz w:val="22"/>
                <w:szCs w:val="22"/>
              </w:rPr>
              <w:t>（一）城镇污水处理、垃圾处理、危险废物处置等公共设施的运营单位；</w:t>
            </w:r>
          </w:p>
          <w:p w14:paraId="6C7BA5FB">
            <w:pPr>
              <w:keepNext w:val="0"/>
              <w:keepLines w:val="0"/>
              <w:pageBreakBefore w:val="0"/>
              <w:widowControl w:val="0"/>
              <w:suppressLineNumbers w:val="0"/>
              <w:suppressAutoHyphens w:val="0"/>
              <w:spacing w:line="320" w:lineRule="exact"/>
              <w:ind w:left="0" w:firstLine="440" w:firstLineChars="200"/>
              <w:rPr>
                <w:rFonts w:hint="eastAsia" w:ascii="仿宋_GB2312" w:hAnsi="Times New Roman" w:eastAsia="仿宋_GB2312" w:cs="宋体"/>
                <w:vanish w:val="0"/>
                <w:kern w:val="2"/>
                <w:sz w:val="22"/>
                <w:szCs w:val="22"/>
              </w:rPr>
            </w:pPr>
            <w:r>
              <w:rPr>
                <w:rFonts w:hint="eastAsia" w:ascii="仿宋_GB2312" w:hAnsi="Times New Roman" w:eastAsia="仿宋_GB2312" w:cs="宋体"/>
                <w:vanish w:val="0"/>
                <w:kern w:val="2"/>
                <w:sz w:val="22"/>
                <w:szCs w:val="22"/>
              </w:rPr>
              <w:t>（二）生产经营业务涉及基本民生、公共利益的；</w:t>
            </w:r>
          </w:p>
          <w:p w14:paraId="44EDD19E">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jc w:val="both"/>
              <w:rPr>
                <w:rFonts w:hint="eastAsia" w:ascii="仿宋_GB2312" w:eastAsia="仿宋_GB2312" w:cs="宋体"/>
                <w:color w:val="auto"/>
                <w:sz w:val="22"/>
                <w:szCs w:val="22"/>
                <w:u w:val="none"/>
                <w:lang w:val="en-US" w:eastAsia="zh-CN" w:bidi="ar-SA"/>
              </w:rPr>
            </w:pPr>
            <w:r>
              <w:rPr>
                <w:rFonts w:hint="eastAsia" w:ascii="仿宋_GB2312" w:hAnsi="Times New Roman" w:eastAsia="仿宋_GB2312" w:cs="宋体"/>
                <w:kern w:val="2"/>
                <w:sz w:val="22"/>
                <w:szCs w:val="22"/>
              </w:rPr>
              <w:t>（三）实施查封、扣押可能影响生产安全的。</w:t>
            </w:r>
          </w:p>
        </w:tc>
        <w:tc>
          <w:tcPr>
            <w:tcW w:w="1357" w:type="dxa"/>
            <w:vAlign w:val="center"/>
          </w:tcPr>
          <w:p w14:paraId="1DD52CD4">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后续衔接</w:t>
            </w:r>
            <w:r>
              <w:rPr>
                <w:rFonts w:hint="eastAsia" w:ascii="仿宋_GB2312" w:eastAsia="仿宋_GB2312" w:cs="宋体"/>
                <w:color w:val="auto"/>
                <w:sz w:val="22"/>
                <w:szCs w:val="22"/>
                <w:highlight w:val="yellow"/>
                <w:u w:val="none"/>
                <w:lang w:val="en-US" w:eastAsia="zh-CN" w:bidi="ar-SA"/>
              </w:rPr>
              <w:t>《环境保护主管部门实施查封、扣押办法》</w:t>
            </w:r>
            <w:r>
              <w:rPr>
                <w:rFonts w:hint="eastAsia" w:ascii="仿宋_GB2312" w:cs="宋体"/>
                <w:color w:val="auto"/>
                <w:sz w:val="22"/>
                <w:szCs w:val="22"/>
                <w:highlight w:val="yellow"/>
                <w:u w:val="none"/>
                <w:lang w:val="en-US" w:eastAsia="zh-CN" w:bidi="ar-SA"/>
              </w:rPr>
              <w:t>修改</w:t>
            </w:r>
          </w:p>
          <w:p w14:paraId="6FBB0D1E">
            <w:pPr>
              <w:keepNext w:val="0"/>
              <w:keepLines w:val="0"/>
              <w:pageBreakBefore w:val="0"/>
              <w:widowControl w:val="0"/>
              <w:numPr>
                <w:ilvl w:val="0"/>
                <w:numId w:val="0"/>
              </w:numPr>
              <w:kinsoku/>
              <w:wordWrap/>
              <w:topLinePunct w:val="0"/>
              <w:bidi w:val="0"/>
              <w:snapToGrid/>
              <w:spacing w:beforeAutospacing="0" w:afterAutospacing="0" w:line="320" w:lineRule="exact"/>
              <w:jc w:val="center"/>
              <w:rPr>
                <w:rFonts w:hint="eastAsia" w:ascii="仿宋_GB2312" w:eastAsia="仿宋_GB2312" w:cs="宋体"/>
                <w:color w:val="auto"/>
                <w:sz w:val="22"/>
                <w:szCs w:val="22"/>
                <w:u w:val="none"/>
                <w:lang w:val="en-US" w:eastAsia="zh-CN" w:bidi="ar-SA"/>
              </w:rPr>
            </w:pPr>
          </w:p>
        </w:tc>
      </w:tr>
      <w:tr w14:paraId="75263F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1085" w:hRule="atLeast"/>
          <w:jc w:val="center"/>
        </w:trPr>
        <w:tc>
          <w:tcPr>
            <w:tcW w:w="843" w:type="dxa"/>
            <w:vAlign w:val="center"/>
          </w:tcPr>
          <w:p w14:paraId="387091A5">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center"/>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2</w:t>
            </w:r>
          </w:p>
        </w:tc>
        <w:tc>
          <w:tcPr>
            <w:tcW w:w="1601" w:type="dxa"/>
            <w:vAlign w:val="center"/>
          </w:tcPr>
          <w:p w14:paraId="1BDE82DE">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both"/>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对通过逃避监管的方式违法排污者的查封、扣押</w:t>
            </w:r>
          </w:p>
        </w:tc>
        <w:tc>
          <w:tcPr>
            <w:tcW w:w="4650" w:type="dxa"/>
            <w:vAlign w:val="center"/>
          </w:tcPr>
          <w:p w14:paraId="722F473A">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u w:val="none"/>
                <w:lang w:val="en-US" w:eastAsia="zh-CN" w:bidi="ar-SA"/>
              </w:rPr>
            </w:pPr>
            <w:r>
              <w:rPr>
                <w:rFonts w:hint="eastAsia" w:ascii="仿宋_GB2312" w:eastAsia="仿宋_GB2312" w:cs="宋体"/>
                <w:color w:val="auto"/>
                <w:sz w:val="22"/>
                <w:szCs w:val="22"/>
                <w:u w:val="none"/>
                <w:lang w:val="en-US" w:eastAsia="zh-CN" w:bidi="ar-SA"/>
              </w:rPr>
              <w:t>同时具备下列条件：</w:t>
            </w:r>
          </w:p>
          <w:p w14:paraId="2991B701">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（1）在现场检查当日，当事人已完成改正，或者主动实施改正措施并停止违法排放污染物的；</w:t>
            </w:r>
          </w:p>
          <w:p w14:paraId="7B06DB84">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both"/>
              <w:rPr>
                <w:rFonts w:hint="eastAsia" w:ascii="仿宋_GB2312" w:hAnsi="Calibri" w:eastAsia="仿宋_GB2312" w:cs="宋体"/>
                <w:color w:val="auto"/>
                <w:kern w:val="2"/>
                <w:sz w:val="22"/>
                <w:szCs w:val="22"/>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（2）采用非强制性手段能够达到行政管理目的。</w:t>
            </w:r>
          </w:p>
        </w:tc>
        <w:tc>
          <w:tcPr>
            <w:tcW w:w="6429" w:type="dxa"/>
            <w:vAlign w:val="center"/>
          </w:tcPr>
          <w:p w14:paraId="6FCC5C61">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jc w:val="both"/>
              <w:rPr>
                <w:rFonts w:hint="eastAsia" w:ascii="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1.</w:t>
            </w:r>
            <w:r>
              <w:rPr>
                <w:rFonts w:hint="eastAsia" w:ascii="仿宋_GB2312" w:eastAsia="仿宋_GB2312" w:cs="宋体"/>
                <w:color w:val="auto"/>
                <w:sz w:val="22"/>
                <w:szCs w:val="22"/>
                <w:highlight w:val="yellow"/>
                <w:u w:val="none"/>
                <w:lang w:val="en-US" w:eastAsia="zh-CN" w:bidi="ar-SA"/>
              </w:rPr>
              <w:t>《中华人民共和国生态环境法典》（自2026年8月15日起施行）</w:t>
            </w:r>
            <w:r>
              <w:rPr>
                <w:rFonts w:hint="eastAsia" w:ascii="仿宋_GB2312" w:eastAsia="仿宋_GB2312" w:cs="宋体"/>
                <w:color w:val="auto"/>
                <w:sz w:val="22"/>
                <w:szCs w:val="22"/>
                <w:highlight w:val="yellow"/>
                <w:u w:val="none"/>
                <w:lang w:val="en-US" w:eastAsia="zh-CN" w:bidi="ar-SA"/>
              </w:rPr>
              <w:br w:type="textWrapping"/>
            </w:r>
            <w:r>
              <w:rPr>
                <w:rFonts w:hint="eastAsia" w:ascii="仿宋_GB2312" w:cs="宋体"/>
                <w:color w:val="auto"/>
                <w:sz w:val="22"/>
                <w:szCs w:val="22"/>
                <w:highlight w:val="yellow"/>
                <w:u w:val="none"/>
                <w:lang w:val="en-US" w:eastAsia="zh-CN" w:bidi="ar-SA"/>
              </w:rPr>
              <w:t xml:space="preserve">    </w:t>
            </w:r>
            <w:r>
              <w:rPr>
                <w:rFonts w:hint="eastAsia" w:ascii="仿宋_GB2312" w:eastAsia="仿宋_GB2312" w:cs="宋体"/>
                <w:color w:val="auto"/>
                <w:sz w:val="22"/>
                <w:szCs w:val="22"/>
                <w:highlight w:val="yellow"/>
                <w:u w:val="none"/>
                <w:lang w:val="en-US" w:eastAsia="zh-CN" w:bidi="ar-SA"/>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r>
              <w:rPr>
                <w:rFonts w:hint="eastAsia" w:ascii="仿宋_GB2312" w:cs="宋体"/>
                <w:color w:val="auto"/>
                <w:sz w:val="22"/>
                <w:szCs w:val="22"/>
                <w:highlight w:val="yellow"/>
                <w:u w:val="none"/>
                <w:lang w:val="en-US" w:eastAsia="zh-CN" w:bidi="ar-SA"/>
              </w:rPr>
              <w:t xml:space="preserve">  </w:t>
            </w:r>
          </w:p>
          <w:p w14:paraId="23FA4F33">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jc w:val="both"/>
              <w:rPr>
                <w:rFonts w:hint="eastAsia" w:ascii="仿宋_GB2312" w:eastAsia="仿宋_GB2312" w:cs="宋体"/>
                <w:color w:val="auto"/>
                <w:sz w:val="22"/>
                <w:szCs w:val="22"/>
                <w:highlight w:val="none"/>
                <w:u w:val="none"/>
                <w:lang w:val="en-US" w:eastAsia="zh-CN" w:bidi="ar-SA"/>
              </w:rPr>
            </w:pPr>
            <w:r>
              <w:rPr>
                <w:rFonts w:hint="eastAsia" w:ascii="仿宋_GB2312" w:cs="宋体"/>
                <w:sz w:val="22"/>
                <w:szCs w:val="22"/>
                <w:highlight w:val="yellow"/>
              </w:rPr>
              <w:t>2.</w:t>
            </w:r>
            <w:r>
              <w:rPr>
                <w:rFonts w:hint="eastAsia" w:ascii="仿宋_GB2312" w:eastAsia="仿宋_GB2312" w:cs="宋体"/>
                <w:color w:val="auto"/>
                <w:sz w:val="22"/>
                <w:szCs w:val="22"/>
                <w:highlight w:val="none"/>
                <w:u w:val="none"/>
                <w:lang w:val="en-US" w:eastAsia="zh-CN" w:bidi="ar-SA"/>
              </w:rPr>
              <w:t>《环境</w:t>
            </w:r>
            <w:r>
              <w:rPr>
                <w:rFonts w:hint="eastAsia" w:ascii="仿宋_GB2312" w:cs="宋体"/>
                <w:sz w:val="22"/>
                <w:szCs w:val="22"/>
              </w:rPr>
              <w:t>保护</w:t>
            </w:r>
            <w:r>
              <w:rPr>
                <w:rFonts w:hint="eastAsia" w:ascii="仿宋_GB2312" w:eastAsia="仿宋_GB2312" w:cs="宋体"/>
                <w:color w:val="auto"/>
                <w:sz w:val="22"/>
                <w:szCs w:val="22"/>
                <w:highlight w:val="none"/>
                <w:u w:val="none"/>
                <w:lang w:val="en-US" w:eastAsia="zh-CN" w:bidi="ar-SA"/>
              </w:rPr>
              <w:t>主管部门实施查封、扣押办法》</w:t>
            </w:r>
          </w:p>
          <w:p w14:paraId="4CA83029">
            <w:pPr>
              <w:keepNext w:val="0"/>
              <w:keepLines w:val="0"/>
              <w:pageBreakBefore w:val="0"/>
              <w:widowControl w:val="0"/>
              <w:suppressLineNumbers w:val="0"/>
              <w:suppressAutoHyphens w:val="0"/>
              <w:spacing w:line="320" w:lineRule="exact"/>
              <w:ind w:left="0" w:firstLine="440" w:firstLineChars="200"/>
              <w:rPr>
                <w:rFonts w:hint="eastAsia" w:ascii="仿宋_GB2312" w:hAnsi="Times New Roman" w:eastAsia="仿宋_GB2312" w:cs="宋体"/>
                <w:vanish w:val="0"/>
                <w:kern w:val="2"/>
                <w:sz w:val="22"/>
                <w:szCs w:val="22"/>
              </w:rPr>
            </w:pPr>
            <w:r>
              <w:rPr>
                <w:rFonts w:hint="eastAsia" w:ascii="仿宋_GB2312" w:hAnsi="Times New Roman" w:eastAsia="仿宋_GB2312" w:cs="宋体"/>
                <w:vanish w:val="0"/>
                <w:kern w:val="2"/>
                <w:sz w:val="22"/>
                <w:szCs w:val="22"/>
              </w:rPr>
              <w:t>第四条  排污者有下列情形之一的，环境保护主管部门依法实施查封、扣押：</w:t>
            </w:r>
          </w:p>
          <w:p w14:paraId="7D132007">
            <w:pPr>
              <w:keepNext w:val="0"/>
              <w:keepLines w:val="0"/>
              <w:pageBreakBefore w:val="0"/>
              <w:widowControl w:val="0"/>
              <w:suppressLineNumbers w:val="0"/>
              <w:suppressAutoHyphens w:val="0"/>
              <w:spacing w:line="320" w:lineRule="exact"/>
              <w:ind w:left="0" w:firstLine="440" w:firstLineChars="200"/>
              <w:rPr>
                <w:rFonts w:hint="eastAsia" w:ascii="仿宋_GB2312" w:hAnsi="Times New Roman" w:eastAsia="仿宋_GB2312" w:cs="宋体"/>
                <w:vanish w:val="0"/>
                <w:kern w:val="2"/>
                <w:sz w:val="22"/>
                <w:szCs w:val="22"/>
              </w:rPr>
            </w:pPr>
            <w:r>
              <w:rPr>
                <w:rFonts w:hint="eastAsia" w:ascii="仿宋_GB2312" w:hAnsi="Times New Roman" w:eastAsia="仿宋_GB2312" w:cs="宋体"/>
                <w:vanish w:val="0"/>
                <w:kern w:val="2"/>
                <w:sz w:val="22"/>
                <w:szCs w:val="22"/>
              </w:rPr>
              <w:t>（四）通过暗管、渗井、渗坑、灌注或者篡改、伪造监测数据，或者不正常运行防治污染设施等逃避监管的方式违反法律法规规定排放污染物的；</w:t>
            </w:r>
          </w:p>
          <w:p w14:paraId="53A0AB49">
            <w:pPr>
              <w:keepNext w:val="0"/>
              <w:keepLines w:val="0"/>
              <w:pageBreakBefore w:val="0"/>
              <w:widowControl w:val="0"/>
              <w:numPr>
                <w:ilvl w:val="0"/>
                <w:numId w:val="0"/>
              </w:numPr>
              <w:kinsoku/>
              <w:wordWrap/>
              <w:topLinePunct w:val="0"/>
              <w:snapToGrid/>
              <w:spacing w:beforeAutospacing="0" w:afterAutospacing="0" w:line="320" w:lineRule="exact"/>
              <w:ind w:left="0" w:firstLine="440" w:firstLineChars="200"/>
              <w:rPr>
                <w:rFonts w:hint="eastAsia" w:ascii="仿宋_GB2312" w:eastAsia="仿宋_GB2312" w:cs="宋体"/>
                <w:color w:val="auto"/>
                <w:sz w:val="22"/>
                <w:szCs w:val="22"/>
                <w:highlight w:val="none"/>
                <w:u w:val="none"/>
                <w:lang w:val="en-US" w:eastAsia="zh-CN" w:bidi="ar-SA"/>
              </w:rPr>
            </w:pPr>
            <w:r>
              <w:rPr>
                <w:rFonts w:hint="eastAsia" w:ascii="仿宋_GB2312" w:hAnsi="Times New Roman" w:eastAsia="仿宋_GB2312" w:cs="宋体"/>
                <w:vanish w:val="0"/>
                <w:kern w:val="2"/>
                <w:sz w:val="22"/>
                <w:szCs w:val="22"/>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cs="宋体"/>
                <w:color w:val="auto"/>
                <w:sz w:val="21"/>
                <w:szCs w:val="21"/>
                <w:highlight w:val="yellow"/>
                <w:u w:val="none"/>
                <w:lang w:val="en-US" w:eastAsia="zh-CN" w:bidi="ar-SA"/>
              </w:rPr>
              <w:t>3</w:t>
            </w:r>
            <w:r>
              <w:rPr>
                <w:rFonts w:hint="eastAsia" w:ascii="仿宋_GB2312" w:eastAsia="仿宋_GB2312" w:cs="宋体"/>
                <w:color w:val="auto"/>
                <w:sz w:val="21"/>
                <w:szCs w:val="21"/>
                <w:highlight w:val="yellow"/>
                <w:u w:val="none"/>
                <w:lang w:val="en-US" w:eastAsia="zh-CN" w:bidi="ar-SA"/>
              </w:rPr>
              <w:t>.</w:t>
            </w:r>
            <w:r>
              <w:rPr>
                <w:rFonts w:hint="eastAsia" w:ascii="仿宋_GB2312" w:eastAsia="仿宋_GB2312" w:cs="宋体"/>
                <w:color w:val="auto"/>
                <w:sz w:val="22"/>
                <w:szCs w:val="22"/>
                <w:highlight w:val="none"/>
                <w:u w:val="none"/>
                <w:lang w:val="en-US" w:eastAsia="zh-CN" w:bidi="ar-SA"/>
              </w:rPr>
              <w:t>《优化营商环境条例》</w:t>
            </w:r>
          </w:p>
          <w:p w14:paraId="161ED15F">
            <w:pPr>
              <w:keepNext w:val="0"/>
              <w:keepLines w:val="0"/>
              <w:pageBreakBefore w:val="0"/>
              <w:widowControl w:val="0"/>
              <w:numPr>
                <w:ilvl w:val="0"/>
                <w:numId w:val="0"/>
              </w:numPr>
              <w:kinsoku/>
              <w:wordWrap/>
              <w:topLinePunct w:val="0"/>
              <w:bidi w:val="0"/>
              <w:snapToGrid/>
              <w:spacing w:beforeAutospacing="0" w:afterAutospacing="0" w:line="320" w:lineRule="exact"/>
              <w:ind w:left="0" w:firstLine="440" w:firstLineChars="200"/>
              <w:jc w:val="both"/>
              <w:rPr>
                <w:rFonts w:hint="eastAsia" w:ascii="Calibri" w:hAnsi="Calibri" w:eastAsia="宋体" w:cs="Times New Roman"/>
                <w:color w:val="auto"/>
                <w:kern w:val="2"/>
                <w:sz w:val="21"/>
                <w:szCs w:val="24"/>
                <w:highlight w:val="none"/>
                <w:u w:val="none"/>
                <w:lang w:val="en-US" w:eastAsia="zh-CN" w:bidi="ar-SA"/>
              </w:rPr>
            </w:pPr>
            <w:r>
              <w:rPr>
                <w:rFonts w:hint="eastAsia" w:ascii="仿宋_GB2312" w:eastAsia="仿宋_GB2312" w:cs="宋体"/>
                <w:color w:val="auto"/>
                <w:sz w:val="22"/>
                <w:szCs w:val="22"/>
                <w:highlight w:val="none"/>
                <w:u w:val="none"/>
                <w:lang w:val="en-US" w:eastAsia="zh-CN" w:bidi="ar-SA"/>
              </w:rPr>
              <w:t>第五十九条 第一款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357" w:type="dxa"/>
            <w:vAlign w:val="center"/>
          </w:tcPr>
          <w:p w14:paraId="323B7DC8">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hint="eastAsia" w:ascii="仿宋_GB2312" w:eastAsia="仿宋_GB2312" w:cs="宋体"/>
                <w:color w:val="auto"/>
                <w:sz w:val="22"/>
                <w:szCs w:val="22"/>
                <w:highlight w:val="yellow"/>
                <w:u w:val="none"/>
                <w:lang w:val="en-US" w:eastAsia="zh-CN" w:bidi="ar-SA"/>
              </w:rPr>
            </w:pPr>
            <w:r>
              <w:rPr>
                <w:rFonts w:hint="eastAsia" w:ascii="仿宋_GB2312" w:cs="宋体"/>
                <w:color w:val="auto"/>
                <w:sz w:val="22"/>
                <w:szCs w:val="22"/>
                <w:highlight w:val="yellow"/>
                <w:u w:val="none"/>
                <w:lang w:val="en-US" w:eastAsia="zh-CN" w:bidi="ar-SA"/>
              </w:rPr>
              <w:t>后续衔接</w:t>
            </w:r>
            <w:r>
              <w:rPr>
                <w:rFonts w:hint="eastAsia" w:ascii="仿宋_GB2312" w:eastAsia="仿宋_GB2312" w:cs="宋体"/>
                <w:color w:val="auto"/>
                <w:sz w:val="22"/>
                <w:szCs w:val="22"/>
                <w:highlight w:val="yellow"/>
                <w:u w:val="none"/>
                <w:lang w:val="en-US" w:eastAsia="zh-CN" w:bidi="ar-SA"/>
              </w:rPr>
              <w:t>《环境保护主管部门实施查封、扣押办法》</w:t>
            </w:r>
            <w:r>
              <w:rPr>
                <w:rFonts w:hint="eastAsia" w:ascii="仿宋_GB2312" w:cs="宋体"/>
                <w:color w:val="auto"/>
                <w:sz w:val="22"/>
                <w:szCs w:val="22"/>
                <w:highlight w:val="yellow"/>
                <w:u w:val="none"/>
                <w:lang w:val="en-US" w:eastAsia="zh-CN" w:bidi="ar-SA"/>
              </w:rPr>
              <w:t>修改</w:t>
            </w:r>
          </w:p>
          <w:p w14:paraId="0B89675A">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center"/>
              <w:rPr>
                <w:rFonts w:hint="eastAsia" w:ascii="仿宋_GB2312" w:hAnsi="Calibri" w:eastAsia="仿宋_GB2312" w:cs="宋体"/>
                <w:color w:val="auto"/>
                <w:kern w:val="2"/>
                <w:sz w:val="22"/>
                <w:szCs w:val="22"/>
                <w:highlight w:val="none"/>
                <w:u w:val="none"/>
                <w:lang w:val="en-US" w:eastAsia="zh-CN" w:bidi="ar-SA"/>
              </w:rPr>
            </w:pPr>
          </w:p>
        </w:tc>
      </w:tr>
    </w:tbl>
    <w:p w14:paraId="35BCB906">
      <w:pPr>
        <w:sectPr>
          <w:headerReference r:id="rId5" w:type="first"/>
          <w:footerReference r:id="rId8" w:type="first"/>
          <w:footerReference r:id="rId6" w:type="default"/>
          <w:footerReference r:id="rId7" w:type="even"/>
          <w:pgSz w:w="16838" w:h="11906" w:orient="landscape"/>
          <w:pgMar w:top="1134" w:right="1417" w:bottom="1247" w:left="1417" w:header="851" w:footer="850" w:gutter="0"/>
          <w:cols w:space="0" w:num="1"/>
          <w:titlePg/>
          <w:rtlGutter w:val="1"/>
          <w:docGrid w:type="linesAndChars" w:linePitch="579" w:charSpace="0"/>
        </w:sectPr>
      </w:pPr>
    </w:p>
    <w:p w14:paraId="4B265448">
      <w:pPr>
        <w:pStyle w:val="2"/>
        <w:rPr>
          <w:rFonts w:hint="eastAsia"/>
        </w:rPr>
      </w:pPr>
    </w:p>
    <w:sectPr>
      <w:footerReference r:id="rId11" w:type="first"/>
      <w:footerReference r:id="rId9" w:type="default"/>
      <w:footerReference r:id="rId10" w:type="even"/>
      <w:pgSz w:w="11906" w:h="16838"/>
      <w:pgMar w:top="2098" w:right="1474" w:bottom="1984" w:left="1588" w:header="851" w:footer="1417" w:gutter="0"/>
      <w:cols w:space="720" w:num="1"/>
      <w:titlePg/>
      <w:docGrid w:type="linesAndChar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5D6D8">
    <w:pPr>
      <w:widowControl w:val="0"/>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300" cy="230505"/>
              <wp:effectExtent l="0" t="0" r="0" b="0"/>
              <wp:wrapNone/>
              <wp:docPr id="3" name="文本框 3"/>
              <wp:cNvGraphicFramePr/>
              <a:graphic xmlns:a="http://schemas.openxmlformats.org/drawingml/2006/main">
                <a:graphicData uri="http://schemas.microsoft.com/office/word/2010/wordprocessingShape">
                  <wps:wsp>
                    <wps:cNvSpPr/>
                    <wps:spPr>
                      <a:xfrm>
                        <a:off x="0" y="0"/>
                        <a:ext cx="622299" cy="230584"/>
                      </a:xfrm>
                      <a:prstGeom prst="rect">
                        <a:avLst/>
                      </a:prstGeom>
                      <a:noFill/>
                      <a:ln cap="flat" cmpd="sng">
                        <a:noFill/>
                        <a:prstDash val="solid"/>
                        <a:round/>
                      </a:ln>
                      <a:effectLst/>
                    </wps:spPr>
                    <wps:txbx>
                      <w:txbxContent>
                        <w:p w14:paraId="6A82DB60">
                          <w:pPr>
                            <w:widowControl w:val="0"/>
                            <w:snapToGrid w:val="0"/>
                            <w:jc w:val="left"/>
                            <w:rPr>
                              <w:rFonts w:ascii="Times New Roman" w:hAnsi="Times New Roman" w:eastAsia="宋体" w:cs="Times New Roman"/>
                              <w:kern w:val="2"/>
                              <w:sz w:val="18"/>
                              <w:szCs w:val="24"/>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49pt;mso-position-horizontal:outside;mso-position-horizontal-relative:margin;mso-wrap-style:none;z-index:251659264;mso-width-relative:page;mso-height-relative:page;" filled="f" stroked="f" coordsize="21600,21600" o:gfxdata="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chPw0QAAAAMBAAAPAAAAAAAAAAEAIAAAACIAAABkcnMvZG93bnJl&#10;di54bWxQSwECFAAUAAAACACHTuJA3maXOgQCAAD5AwAADgAAAAAAAAABACAAAAAgAQAAZHJzL2Uy&#10;b0RvYy54bWxQSwUGAAAAAAYABgBZAQAAlgUAAAAA&#10;">
              <v:fill on="f" focussize="0,0"/>
              <v:stroke on="f" joinstyle="round"/>
              <v:imagedata o:title=""/>
              <o:lock v:ext="edit" aspectratio="f"/>
              <v:textbox inset="0mm,0mm,0mm,0mm" style="mso-fit-shape-to-text:t;">
                <w:txbxContent>
                  <w:p w14:paraId="6A82DB60">
                    <w:pPr>
                      <w:widowControl w:val="0"/>
                      <w:snapToGrid w:val="0"/>
                      <w:jc w:val="left"/>
                      <w:rPr>
                        <w:rFonts w:ascii="Times New Roman" w:hAnsi="Times New Roman" w:eastAsia="宋体" w:cs="Times New Roman"/>
                        <w:kern w:val="2"/>
                        <w:sz w:val="18"/>
                        <w:szCs w:val="24"/>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2EE1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30505"/>
              <wp:effectExtent l="0" t="0" r="0" b="0"/>
              <wp:wrapNone/>
              <wp:docPr id="12" name="文本框 12"/>
              <wp:cNvGraphicFramePr/>
              <a:graphic xmlns:a="http://schemas.openxmlformats.org/drawingml/2006/main">
                <a:graphicData uri="http://schemas.microsoft.com/office/word/2010/wordprocessingShape">
                  <wps:wsp>
                    <wps:cNvSpPr/>
                    <wps:spPr>
                      <a:xfrm>
                        <a:off x="0" y="0"/>
                        <a:ext cx="711200" cy="230584"/>
                      </a:xfrm>
                      <a:prstGeom prst="rect">
                        <a:avLst/>
                      </a:prstGeom>
                      <a:noFill/>
                      <a:ln w="6350" cap="flat" cmpd="sng">
                        <a:noFill/>
                        <a:prstDash val="solid"/>
                        <a:round/>
                      </a:ln>
                      <a:effectLst/>
                    </wps:spPr>
                    <wps:txbx>
                      <w:txbxContent>
                        <w:p w14:paraId="77382767">
                          <w:pPr>
                            <w:pStyle w:val="11"/>
                            <w:rPr>
                              <w:rFonts w:hint="eastAsia" w:ascii="宋体" w:hAnsi="宋体" w:eastAsia="宋体" w:cs="宋体"/>
                              <w:sz w:val="28"/>
                              <w:szCs w:val="28"/>
                              <w:lang w:eastAsia="zh-CN"/>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2</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lang w:eastAsia="zh-CN"/>
                            </w:rPr>
                            <w:t>—</w:t>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18.15pt;width:56pt;mso-position-horizontal:outside;mso-position-horizontal-relative:margin;mso-wrap-style:none;z-index:251659264;mso-width-relative:page;mso-height-relative:page;" filled="f" stroked="f" coordsize="21600,21600" o:gfxdata="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h5kDHXAAAABAEAAA8AAAAAAAAAAQAgAAAAIgAA&#10;AGRycy9kb3ducmV2LnhtbFBLAQIUABQAAAAIAIdO4kAoa/tfCQIAAAQEAAAOAAAAAAAAAAEAIAAA&#10;ACYBAABkcnMvZTJvRG9jLnhtbFBLBQYAAAAABgAGAFkBAAChBQAAAAA=&#10;">
              <v:fill on="f" focussize="0,0"/>
              <v:stroke on="f" weight="0.5pt" joinstyle="round"/>
              <v:imagedata o:title=""/>
              <o:lock v:ext="edit" aspectratio="f"/>
              <v:textbox inset="0mm,0mm,0mm,0mm" style="mso-fit-shape-to-text:t;">
                <w:txbxContent>
                  <w:p w14:paraId="77382767">
                    <w:pPr>
                      <w:pStyle w:val="11"/>
                      <w:rPr>
                        <w:rFonts w:hint="eastAsia" w:ascii="宋体" w:hAnsi="宋体" w:eastAsia="宋体" w:cs="宋体"/>
                        <w:sz w:val="28"/>
                        <w:szCs w:val="28"/>
                        <w:lang w:eastAsia="zh-CN"/>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2</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lang w:eastAsia="zh-CN"/>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02D38">
    <w:pPr>
      <w:pStyle w:val="11"/>
      <w:ind w:right="360" w:firstLine="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30505"/>
              <wp:effectExtent l="0" t="0" r="0" b="0"/>
              <wp:wrapNone/>
              <wp:docPr id="9" name="文本框 9"/>
              <wp:cNvGraphicFramePr/>
              <a:graphic xmlns:a="http://schemas.openxmlformats.org/drawingml/2006/main">
                <a:graphicData uri="http://schemas.microsoft.com/office/word/2010/wordprocessingShape">
                  <wps:wsp>
                    <wps:cNvSpPr/>
                    <wps:spPr>
                      <a:xfrm>
                        <a:off x="0" y="0"/>
                        <a:ext cx="711200" cy="230584"/>
                      </a:xfrm>
                      <a:prstGeom prst="rect">
                        <a:avLst/>
                      </a:prstGeom>
                      <a:noFill/>
                      <a:ln w="6350" cap="flat" cmpd="sng">
                        <a:noFill/>
                        <a:prstDash val="solid"/>
                        <a:round/>
                      </a:ln>
                      <a:effectLst/>
                    </wps:spPr>
                    <wps:txbx>
                      <w:txbxContent>
                        <w:p w14:paraId="10FDE12A">
                          <w:pPr>
                            <w:pStyle w:val="11"/>
                            <w:rPr>
                              <w:rFonts w:hint="eastAsia" w:ascii="宋体" w:hAnsi="宋体" w:eastAsia="宋体" w:cs="宋体"/>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1</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8.15pt;width:56pt;mso-position-horizontal:outside;mso-position-horizontal-relative:margin;mso-wrap-style:none;z-index:251659264;mso-width-relative:page;mso-height-relative:page;" filled="f" stroked="f" coordsize="21600,21600" o:gfxdata="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h5kDHXAAAABAEAAA8AAAAAAAAAAQAgAAAAIgAA&#10;AGRycy9kb3ducmV2LnhtbFBLAQIUABQAAAAIAIdO4kAGZGGZCQIAAAIEAAAOAAAAAAAAAAEAIAAA&#10;ACYBAABkcnMvZTJvRG9jLnhtbFBLBQYAAAAABgAGAFkBAAChBQAAAAA=&#10;">
              <v:fill on="f" focussize="0,0"/>
              <v:stroke on="f" weight="0.5pt" joinstyle="round"/>
              <v:imagedata o:title=""/>
              <o:lock v:ext="edit" aspectratio="f"/>
              <v:textbox inset="0mm,0mm,0mm,0mm" style="mso-fit-shape-to-text:t;">
                <w:txbxContent>
                  <w:p w14:paraId="10FDE12A">
                    <w:pPr>
                      <w:pStyle w:val="11"/>
                      <w:rPr>
                        <w:rFonts w:hint="eastAsia" w:ascii="宋体" w:hAnsi="宋体" w:eastAsia="宋体" w:cs="宋体"/>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1</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A1892">
    <w:pPr>
      <w:pStyle w:val="11"/>
      <w:keepNext w:val="0"/>
      <w:keepLines w:val="0"/>
      <w:pageBreakBefore w:val="0"/>
      <w:widowControl w:val="0"/>
      <w:kinsoku/>
      <w:wordWrap/>
      <w:overflowPunct/>
      <w:topLinePunct w:val="0"/>
      <w:autoSpaceDE/>
      <w:autoSpaceDN/>
      <w:bidi w:val="0"/>
      <w:adjustRightInd/>
      <w:snapToGrid w:val="0"/>
      <w:spacing w:before="40"/>
      <w:ind w:right="0"/>
      <w:textAlignment w:val="auto"/>
      <w:rPr>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30505"/>
              <wp:effectExtent l="0" t="0" r="0" b="0"/>
              <wp:wrapNone/>
              <wp:docPr id="10" name="文本框 10"/>
              <wp:cNvGraphicFramePr/>
              <a:graphic xmlns:a="http://schemas.openxmlformats.org/drawingml/2006/main">
                <a:graphicData uri="http://schemas.microsoft.com/office/word/2010/wordprocessingShape">
                  <wps:wsp>
                    <wps:cNvSpPr/>
                    <wps:spPr>
                      <a:xfrm>
                        <a:off x="0" y="0"/>
                        <a:ext cx="711200" cy="230584"/>
                      </a:xfrm>
                      <a:prstGeom prst="rect">
                        <a:avLst/>
                      </a:prstGeom>
                      <a:noFill/>
                      <a:ln w="6350" cap="flat" cmpd="sng">
                        <a:noFill/>
                        <a:prstDash val="solid"/>
                        <a:round/>
                      </a:ln>
                      <a:effectLst/>
                    </wps:spPr>
                    <wps:txbx>
                      <w:txbxContent>
                        <w:p w14:paraId="7CDAA33E">
                          <w:pPr>
                            <w:pStyle w:val="11"/>
                            <w:rPr>
                              <w:rFonts w:hint="eastAsia" w:ascii="宋体" w:hAnsi="宋体" w:eastAsia="宋体" w:cs="宋体"/>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2</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8.15pt;width:56pt;mso-position-horizontal:outside;mso-position-horizontal-relative:margin;mso-wrap-style:none;z-index:251659264;mso-width-relative:page;mso-height-relative:page;" filled="f" stroked="f" coordsize="21600,21600" o:gfxdata="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HmQMdcAAAAEAQAADwAAAAAAAAABACAAAAAiAAAA&#10;ZHJzL2Rvd25yZXYueG1sUEsBAhQAFAAAAAgAh07iQPymh48IAgAABAQAAA4AAAAAAAAAAQAgAAAA&#10;JgEAAGRycy9lMm9Eb2MueG1sUEsFBgAAAAAGAAYAWQEAAKAFAAAAAA==&#10;">
              <v:fill on="f" focussize="0,0"/>
              <v:stroke on="f" weight="0.5pt" joinstyle="round"/>
              <v:imagedata o:title=""/>
              <o:lock v:ext="edit" aspectratio="f"/>
              <v:textbox inset="0mm,0mm,0mm,0mm" style="mso-fit-shape-to-text:t;">
                <w:txbxContent>
                  <w:p w14:paraId="7CDAA33E">
                    <w:pPr>
                      <w:pStyle w:val="11"/>
                      <w:rPr>
                        <w:rFonts w:hint="eastAsia" w:ascii="宋体" w:hAnsi="宋体" w:eastAsia="宋体" w:cs="宋体"/>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2</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FF5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30505"/>
              <wp:effectExtent l="0" t="0" r="0" b="0"/>
              <wp:wrapNone/>
              <wp:docPr id="11" name="文本框 11"/>
              <wp:cNvGraphicFramePr/>
              <a:graphic xmlns:a="http://schemas.openxmlformats.org/drawingml/2006/main">
                <a:graphicData uri="http://schemas.microsoft.com/office/word/2010/wordprocessingShape">
                  <wps:wsp>
                    <wps:cNvSpPr/>
                    <wps:spPr>
                      <a:xfrm>
                        <a:off x="0" y="0"/>
                        <a:ext cx="711200" cy="230584"/>
                      </a:xfrm>
                      <a:prstGeom prst="rect">
                        <a:avLst/>
                      </a:prstGeom>
                      <a:noFill/>
                      <a:ln w="6350" cap="flat" cmpd="sng">
                        <a:noFill/>
                        <a:prstDash val="solid"/>
                        <a:round/>
                      </a:ln>
                      <a:effectLst/>
                    </wps:spPr>
                    <wps:txbx>
                      <w:txbxContent>
                        <w:p w14:paraId="2F05E22E">
                          <w:pPr>
                            <w:pStyle w:val="11"/>
                            <w:rPr>
                              <w:rFonts w:hint="eastAsia" w:ascii="宋体" w:hAnsi="宋体" w:eastAsia="宋体" w:cs="宋体"/>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1</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8.15pt;width:56pt;mso-position-horizontal:outside;mso-position-horizontal-relative:margin;mso-wrap-style:none;z-index:251659264;mso-width-relative:page;mso-height-relative:page;" filled="f" stroked="f" coordsize="21600,21600" o:gfxdata="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h5kDHXAAAABAEAAA8AAAAAAAAAAQAgAAAAIgAA&#10;AGRycy9kb3ducmV2LnhtbFBLAQIUABQAAAAIAIdO4kAWwLnnCQIAAAQEAAAOAAAAAAAAAAEAIAAA&#10;ACYBAABkcnMvZTJvRG9jLnhtbFBLBQYAAAAABgAGAFkBAAChBQAAAAA=&#10;">
              <v:fill on="f" focussize="0,0"/>
              <v:stroke on="f" weight="0.5pt" joinstyle="round"/>
              <v:imagedata o:title=""/>
              <o:lock v:ext="edit" aspectratio="f"/>
              <v:textbox inset="0mm,0mm,0mm,0mm" style="mso-fit-shape-to-text:t;">
                <w:txbxContent>
                  <w:p w14:paraId="2F05E22E">
                    <w:pPr>
                      <w:pStyle w:val="11"/>
                      <w:rPr>
                        <w:rFonts w:hint="eastAsia" w:ascii="宋体" w:hAnsi="宋体" w:eastAsia="宋体" w:cs="宋体"/>
                        <w:sz w:val="28"/>
                        <w:szCs w:val="28"/>
                      </w:rPr>
                    </w:pP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  \* MERGEFORMAT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1</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 xml:space="preserve"> —</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AF5CB">
    <w:pPr>
      <w:pStyle w:val="11"/>
      <w:ind w:right="360" w:firstLine="360"/>
      <w:jc w:val="cente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15604">
    <w:pPr>
      <w:pStyle w:val="11"/>
      <w:keepNext w:val="0"/>
      <w:keepLines w:val="0"/>
      <w:pageBreakBefore w:val="0"/>
      <w:widowControl w:val="0"/>
      <w:kinsoku/>
      <w:wordWrap/>
      <w:overflowPunct/>
      <w:topLinePunct w:val="0"/>
      <w:autoSpaceDE/>
      <w:autoSpaceDN/>
      <w:bidi w:val="0"/>
      <w:adjustRightInd/>
      <w:snapToGrid w:val="0"/>
      <w:spacing w:before="40"/>
      <w:ind w:right="0"/>
      <w:textAlignment w:val="auto"/>
      <w:rPr>
        <w:rFonts w:hint="eastAsia"/>
        <w:sz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62CD5">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72A3A">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7C722"/>
    <w:multiLevelType w:val="singleLevel"/>
    <w:tmpl w:val="BF77C72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dit="readOnly" w:enforcement="0"/>
  <w:defaultTabStop w:val="420"/>
  <w:evenAndOddHeaders w:val="1"/>
  <w:drawingGridHorizontalSpacing w:val="16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10715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Times New Roman" w:hAnsi="Times New Roman" w:eastAsia="黑体"/>
      <w:b/>
      <w:bCs/>
      <w:sz w:val="32"/>
      <w:szCs w:val="32"/>
    </w:rPr>
  </w:style>
  <w:style w:type="paragraph" w:styleId="5">
    <w:name w:val="heading 3"/>
    <w:basedOn w:val="1"/>
    <w:next w:val="1"/>
    <w:link w:val="19"/>
    <w:qFormat/>
    <w:uiPriority w:val="0"/>
    <w:pPr>
      <w:keepNext/>
      <w:keepLines/>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Body Text First Indent"/>
    <w:qFormat/>
    <w:uiPriority w:val="0"/>
    <w:pPr>
      <w:widowControl w:val="0"/>
      <w:overflowPunct w:val="0"/>
      <w:autoSpaceDE w:val="0"/>
      <w:autoSpaceDN w:val="0"/>
      <w:adjustRightInd w:val="0"/>
      <w:spacing w:after="120" w:line="360" w:lineRule="auto"/>
      <w:ind w:firstLine="539"/>
      <w:jc w:val="both"/>
      <w:textAlignment w:val="baseline"/>
    </w:pPr>
    <w:rPr>
      <w:rFonts w:ascii="Times New Roman" w:hAnsi="Times New Roman" w:eastAsia="宋体" w:cs="Times New Roman"/>
      <w:kern w:val="0"/>
      <w:sz w:val="24"/>
      <w:szCs w:val="24"/>
      <w:lang w:val="en-US" w:eastAsia="zh-CN" w:bidi="ar-SA"/>
    </w:rPr>
  </w:style>
  <w:style w:type="paragraph" w:styleId="6">
    <w:name w:val="index 5"/>
    <w:next w:val="1"/>
    <w:qFormat/>
    <w:uiPriority w:val="0"/>
    <w:pPr>
      <w:widowControl w:val="0"/>
      <w:ind w:firstLine="200" w:firstLineChars="200"/>
      <w:jc w:val="both"/>
    </w:pPr>
    <w:rPr>
      <w:rFonts w:ascii="Calibri" w:hAnsi="Calibri" w:eastAsia="仿宋" w:cs="Arial"/>
      <w:kern w:val="2"/>
      <w:sz w:val="32"/>
      <w:szCs w:val="22"/>
      <w:lang w:val="en-US" w:eastAsia="zh-CN" w:bidi="ar-SA"/>
    </w:rPr>
  </w:style>
  <w:style w:type="paragraph" w:styleId="7">
    <w:name w:val="annotation text"/>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8">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HTML Address"/>
    <w:qFormat/>
    <w:uiPriority w:val="0"/>
    <w:pPr>
      <w:widowControl w:val="0"/>
      <w:suppressAutoHyphens/>
      <w:bidi w:val="0"/>
      <w:jc w:val="both"/>
    </w:pPr>
    <w:rPr>
      <w:rFonts w:ascii="Calibri" w:hAnsi="Calibri" w:eastAsia="宋体" w:cs="Times New Roman"/>
      <w:i/>
      <w:color w:val="auto"/>
      <w:kern w:val="2"/>
      <w:sz w:val="21"/>
      <w:szCs w:val="24"/>
      <w:lang w:val="en-US" w:eastAsia="zh-CN" w:bidi="ar-SA"/>
    </w:rPr>
  </w:style>
  <w:style w:type="paragraph" w:styleId="10">
    <w:name w:val="Date"/>
    <w:basedOn w:val="1"/>
    <w:next w:val="1"/>
    <w:qFormat/>
    <w:uiPriority w:val="0"/>
    <w:rPr>
      <w:rFonts w:ascii="仿宋_GB2312"/>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qFormat/>
    <w:uiPriority w:val="0"/>
    <w:pPr>
      <w:widowControl w:val="0"/>
      <w:jc w:val="both"/>
    </w:pPr>
    <w:rPr>
      <w:rFonts w:ascii="Calibri" w:hAnsi="Times New Roman" w:eastAsia="宋体" w:cs="Times New Roman"/>
      <w:kern w:val="2"/>
      <w:sz w:val="24"/>
      <w:szCs w:val="24"/>
      <w:lang w:val="en-US" w:eastAsia="zh-CN" w:bidi="ar-SA"/>
    </w:rPr>
  </w:style>
  <w:style w:type="character" w:styleId="16">
    <w:name w:val="page number"/>
    <w:qFormat/>
    <w:uiPriority w:val="0"/>
  </w:style>
  <w:style w:type="character" w:customStyle="1" w:styleId="17">
    <w:name w:val="heading 1 Char"/>
    <w:basedOn w:val="15"/>
    <w:link w:val="3"/>
    <w:uiPriority w:val="0"/>
    <w:rPr>
      <w:rFonts w:ascii="Times New Roman" w:hAnsi="Times New Roman" w:eastAsia="仿宋_GB2312" w:cs="Times New Roman"/>
      <w:b/>
      <w:bCs/>
      <w:kern w:val="44"/>
      <w:sz w:val="44"/>
      <w:szCs w:val="44"/>
      <w:lang w:val="en-US" w:eastAsia="zh-CN" w:bidi="ar-SA"/>
    </w:rPr>
  </w:style>
  <w:style w:type="character" w:customStyle="1" w:styleId="18">
    <w:name w:val="heading 2 Char"/>
    <w:basedOn w:val="15"/>
    <w:link w:val="4"/>
    <w:uiPriority w:val="0"/>
    <w:rPr>
      <w:rFonts w:ascii="Times New Roman" w:hAnsi="Times New Roman" w:eastAsia="黑体" w:cs="Times New Roman"/>
      <w:b/>
      <w:bCs/>
      <w:kern w:val="2"/>
      <w:sz w:val="32"/>
      <w:szCs w:val="32"/>
      <w:lang w:val="en-US" w:eastAsia="zh-CN" w:bidi="ar-SA"/>
    </w:rPr>
  </w:style>
  <w:style w:type="character" w:customStyle="1" w:styleId="19">
    <w:name w:val="heading 3 Char"/>
    <w:basedOn w:val="15"/>
    <w:link w:val="5"/>
    <w:uiPriority w:val="0"/>
    <w:rPr>
      <w:rFonts w:ascii="Times New Roman" w:hAnsi="Times New Roman" w:eastAsia="仿宋_GB2312" w:cs="Times New Roman"/>
      <w:b/>
      <w:bCs/>
      <w:kern w:val="2"/>
      <w:sz w:val="32"/>
      <w:szCs w:val="32"/>
      <w:lang w:val="en-US" w:eastAsia="zh-CN" w:bidi="ar-SA"/>
    </w:rPr>
  </w:style>
  <w:style w:type="paragraph" w:customStyle="1" w:styleId="20">
    <w:name w:val="p0"/>
    <w:qFormat/>
    <w:uiPriority w:val="0"/>
    <w:pPr>
      <w:jc w:val="both"/>
    </w:pPr>
    <w:rPr>
      <w:rFonts w:ascii="Times New Roman" w:hAnsi="Times New Roman" w:eastAsia="宋体" w:cs="Times New Roman"/>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EBC130-0C8C-48F8-A2FD-6C22C0EE4051}">
  <ds:schemaRefs/>
</ds:datastoreItem>
</file>

<file path=docProps/app.xml><?xml version="1.0" encoding="utf-8"?>
<Properties xmlns="http://schemas.openxmlformats.org/officeDocument/2006/extended-properties" xmlns:vt="http://schemas.openxmlformats.org/officeDocument/2006/docPropsVTypes">
  <Template>Normal.eit</Template>
  <Pages>48</Pages>
  <Words>7137</Words>
  <Characters>7243</Characters>
  <Lines>0</Lines>
  <Paragraphs>53</Paragraphs>
  <TotalTime>102</TotalTime>
  <ScaleCrop>false</ScaleCrop>
  <LinksUpToDate>false</LinksUpToDate>
  <CharactersWithSpaces>7331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2023-10-29T08:55:00Z</dcterms:created>
  <dc:creator>lwywh</dc:creator>
  <cp:lastModifiedBy>华华</cp:lastModifiedBy>
  <cp:lastPrinted>2026-07-20T03:00:00Z</cp:lastPrinted>
  <dcterms:modified xsi:type="dcterms:W3CDTF">2026-08-18T06:20:09Z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614354499D26D15C0DA0586A6E3AE611_43</vt:lpwstr>
  </property>
  <property fmtid="{D5CDD505-2E9C-101B-9397-08002B2CF9AE}" pid="4" name="KSOTemplateDocerSaveRecord">
    <vt:lpwstr>eyJoZGlkIjoiZjVhNGJiMWVmZTg4ZjFhYWZhYWFiMzBkODkwYWRkZmUiLCJ1c2VySWQiOiIzNDE5NDcwNzEifQ==</vt:lpwstr>
  </property>
</Properties>
</file>